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F2FA7" w14:textId="77777777" w:rsidR="009B55C8" w:rsidRPr="009B55C8" w:rsidRDefault="006C4B59" w:rsidP="00291BCA">
      <w:pPr>
        <w:pBdr>
          <w:top w:val="single" w:sz="12" w:space="1" w:color="009B67"/>
        </w:pBdr>
        <w:spacing w:after="0" w:line="276" w:lineRule="auto"/>
        <w:jc w:val="center"/>
        <w:outlineLvl w:val="0"/>
        <w:rPr>
          <w:rFonts w:ascii="Trebuchet MS" w:eastAsia="Times New Roman" w:hAnsi="Trebuchet MS" w:cs="Times New Roman"/>
          <w:smallCaps/>
          <w:sz w:val="36"/>
          <w:szCs w:val="48"/>
          <w:lang w:bidi="en-US"/>
        </w:rPr>
      </w:pPr>
      <w:r>
        <w:rPr>
          <w:rFonts w:ascii="Trebuchet MS" w:eastAsia="Times New Roman" w:hAnsi="Trebuchet MS" w:cs="Times New Roman"/>
          <w:smallCaps/>
          <w:sz w:val="36"/>
          <w:szCs w:val="48"/>
          <w:lang w:bidi="en-US"/>
        </w:rPr>
        <w:t>Conflict of Interest Process</w:t>
      </w:r>
    </w:p>
    <w:p w14:paraId="1A63D3BD" w14:textId="77777777" w:rsidR="00C4306D" w:rsidRDefault="00C4306D" w:rsidP="00291BCA">
      <w:pPr>
        <w:pStyle w:val="BodyText"/>
        <w:spacing w:before="132"/>
        <w:ind w:left="0" w:right="454"/>
        <w:jc w:val="both"/>
        <w:rPr>
          <w:rFonts w:ascii="Trebuchet MS" w:eastAsia="Times New Roman" w:hAnsi="Trebuchet MS" w:cs="Times New Roman"/>
          <w:sz w:val="20"/>
          <w:szCs w:val="20"/>
          <w:lang w:eastAsia="en-US" w:bidi="en-US"/>
        </w:rPr>
      </w:pPr>
    </w:p>
    <w:p w14:paraId="02BECABD" w14:textId="77777777" w:rsidR="006C4B59" w:rsidRPr="006A0FC1" w:rsidRDefault="006C4B59" w:rsidP="00291BCA">
      <w:pPr>
        <w:jc w:val="both"/>
        <w:rPr>
          <w:rFonts w:ascii="Trebuchet MS" w:hAnsi="Trebuchet MS"/>
          <w:b/>
          <w:bCs/>
          <w:sz w:val="24"/>
          <w:szCs w:val="24"/>
        </w:rPr>
      </w:pPr>
      <w:r w:rsidRPr="006A0FC1">
        <w:rPr>
          <w:rFonts w:ascii="Trebuchet MS" w:hAnsi="Trebuchet MS"/>
          <w:b/>
          <w:bCs/>
          <w:sz w:val="24"/>
          <w:szCs w:val="24"/>
        </w:rPr>
        <w:t>Scope</w:t>
      </w:r>
    </w:p>
    <w:p w14:paraId="6C74564D" w14:textId="77777777" w:rsidR="006C4B59" w:rsidRPr="006A0FC1" w:rsidRDefault="006C4B59" w:rsidP="00291BCA">
      <w:pPr>
        <w:jc w:val="both"/>
        <w:rPr>
          <w:rFonts w:ascii="Trebuchet MS" w:hAnsi="Trebuchet MS"/>
        </w:rPr>
      </w:pPr>
      <w:r>
        <w:rPr>
          <w:rFonts w:ascii="Trebuchet MS" w:hAnsi="Trebuchet MS"/>
        </w:rPr>
        <w:t xml:space="preserve">To ensure that the Active Lancashire Training Centre is </w:t>
      </w:r>
      <w:r w:rsidRPr="006A0FC1">
        <w:rPr>
          <w:rFonts w:ascii="Trebuchet MS" w:hAnsi="Trebuchet MS"/>
        </w:rPr>
        <w:t>collecting the key information we need to manage any conflicts in relation to the assessment, and to make sure our centre</w:t>
      </w:r>
      <w:r>
        <w:rPr>
          <w:rFonts w:ascii="Trebuchet MS" w:hAnsi="Trebuchet MS"/>
        </w:rPr>
        <w:t xml:space="preserve"> staff</w:t>
      </w:r>
      <w:r w:rsidRPr="006A0FC1">
        <w:rPr>
          <w:rFonts w:ascii="Trebuchet MS" w:hAnsi="Trebuchet MS"/>
        </w:rPr>
        <w:t xml:space="preserve"> know what their responsibilities are in the mitigation of these conflicts.   </w:t>
      </w:r>
    </w:p>
    <w:p w14:paraId="461FB72B" w14:textId="77777777" w:rsidR="006C4B59" w:rsidRPr="006A0FC1" w:rsidRDefault="006C4B59" w:rsidP="00291BCA">
      <w:pPr>
        <w:jc w:val="both"/>
        <w:rPr>
          <w:rFonts w:ascii="Trebuchet MS" w:hAnsi="Trebuchet MS"/>
        </w:rPr>
      </w:pPr>
    </w:p>
    <w:p w14:paraId="49C2CC74" w14:textId="77777777" w:rsidR="006C4B59" w:rsidRPr="006A0FC1" w:rsidRDefault="006C4B59" w:rsidP="00291BCA">
      <w:pPr>
        <w:jc w:val="both"/>
        <w:rPr>
          <w:rFonts w:ascii="Trebuchet MS" w:hAnsi="Trebuchet MS"/>
          <w:b/>
          <w:bCs/>
          <w:sz w:val="24"/>
          <w:szCs w:val="24"/>
        </w:rPr>
      </w:pPr>
      <w:r w:rsidRPr="006A0FC1">
        <w:rPr>
          <w:rFonts w:ascii="Trebuchet MS" w:hAnsi="Trebuchet MS"/>
          <w:b/>
          <w:bCs/>
          <w:sz w:val="24"/>
          <w:szCs w:val="24"/>
        </w:rPr>
        <w:t>What is the purpose of the conflicts of interest process?</w:t>
      </w:r>
    </w:p>
    <w:p w14:paraId="512A6431" w14:textId="77777777" w:rsidR="006C4B59" w:rsidRPr="006A0FC1" w:rsidRDefault="006C4B59" w:rsidP="00291BCA">
      <w:pPr>
        <w:jc w:val="both"/>
        <w:rPr>
          <w:rFonts w:ascii="Trebuchet MS" w:hAnsi="Trebuchet MS"/>
        </w:rPr>
      </w:pPr>
      <w:r w:rsidRPr="006A0FC1">
        <w:rPr>
          <w:rFonts w:ascii="Trebuchet MS" w:hAnsi="Trebuchet MS"/>
        </w:rPr>
        <w:t xml:space="preserve">The conflicts of interest process is designed to protect the integrity of </w:t>
      </w:r>
      <w:r>
        <w:rPr>
          <w:rFonts w:ascii="Trebuchet MS" w:hAnsi="Trebuchet MS"/>
        </w:rPr>
        <w:t>Active Lancashire Training Centre</w:t>
      </w:r>
      <w:r w:rsidRPr="006A0FC1">
        <w:rPr>
          <w:rFonts w:ascii="Trebuchet MS" w:hAnsi="Trebuchet MS"/>
        </w:rPr>
        <w:t xml:space="preserve"> assessments. We want to make sure they remain fair and </w:t>
      </w:r>
      <w:r>
        <w:rPr>
          <w:rFonts w:ascii="Trebuchet MS" w:hAnsi="Trebuchet MS"/>
        </w:rPr>
        <w:t xml:space="preserve">that all Training Centre staff </w:t>
      </w:r>
      <w:r w:rsidRPr="006A0FC1">
        <w:rPr>
          <w:rFonts w:ascii="Trebuchet MS" w:hAnsi="Trebuchet MS"/>
        </w:rPr>
        <w:t xml:space="preserve">are protected where there is potential, or a perception, that they could be influenced by any personal interests. </w:t>
      </w:r>
    </w:p>
    <w:p w14:paraId="625294C6" w14:textId="77777777" w:rsidR="006C4B59" w:rsidRPr="006A0FC1" w:rsidRDefault="006C4B59" w:rsidP="00291BCA">
      <w:pPr>
        <w:jc w:val="both"/>
        <w:rPr>
          <w:rFonts w:ascii="Trebuchet MS" w:hAnsi="Trebuchet MS"/>
        </w:rPr>
      </w:pPr>
    </w:p>
    <w:p w14:paraId="15225C21" w14:textId="77777777" w:rsidR="006C4B59" w:rsidRPr="006A0FC1" w:rsidRDefault="006C4B59" w:rsidP="00291BCA">
      <w:pPr>
        <w:jc w:val="both"/>
        <w:rPr>
          <w:rFonts w:ascii="Trebuchet MS" w:hAnsi="Trebuchet MS"/>
          <w:b/>
          <w:bCs/>
          <w:sz w:val="24"/>
          <w:szCs w:val="24"/>
        </w:rPr>
      </w:pPr>
      <w:r w:rsidRPr="006A0FC1">
        <w:rPr>
          <w:rFonts w:ascii="Trebuchet MS" w:hAnsi="Trebuchet MS"/>
          <w:b/>
          <w:bCs/>
          <w:sz w:val="24"/>
          <w:szCs w:val="24"/>
        </w:rPr>
        <w:t>What is a personal interest?</w:t>
      </w:r>
    </w:p>
    <w:p w14:paraId="62351C8D" w14:textId="77777777" w:rsidR="006C4B59" w:rsidRDefault="006C4B59" w:rsidP="00291BCA">
      <w:pPr>
        <w:jc w:val="both"/>
        <w:rPr>
          <w:rFonts w:ascii="Trebuchet MS" w:hAnsi="Trebuchet MS"/>
        </w:rPr>
      </w:pPr>
      <w:r w:rsidRPr="006A0FC1">
        <w:rPr>
          <w:rFonts w:ascii="Trebuchet MS" w:hAnsi="Trebuchet MS"/>
        </w:rPr>
        <w:t xml:space="preserve">A personal interest is a </w:t>
      </w:r>
      <w:r>
        <w:rPr>
          <w:rFonts w:ascii="Trebuchet MS" w:hAnsi="Trebuchet MS"/>
        </w:rPr>
        <w:t>“c</w:t>
      </w:r>
      <w:r w:rsidRPr="006A0FC1">
        <w:rPr>
          <w:rFonts w:ascii="Trebuchet MS" w:hAnsi="Trebuchet MS"/>
        </w:rPr>
        <w:t xml:space="preserve">onflict of </w:t>
      </w:r>
      <w:r>
        <w:rPr>
          <w:rFonts w:ascii="Trebuchet MS" w:hAnsi="Trebuchet MS"/>
        </w:rPr>
        <w:t>i</w:t>
      </w:r>
      <w:r w:rsidRPr="006A0FC1">
        <w:rPr>
          <w:rFonts w:ascii="Trebuchet MS" w:hAnsi="Trebuchet MS"/>
        </w:rPr>
        <w:t>nterest</w:t>
      </w:r>
      <w:r>
        <w:rPr>
          <w:rFonts w:ascii="Trebuchet MS" w:hAnsi="Trebuchet MS"/>
        </w:rPr>
        <w:t>”</w:t>
      </w:r>
      <w:r w:rsidRPr="006A0FC1">
        <w:rPr>
          <w:rFonts w:ascii="Trebuchet MS" w:hAnsi="Trebuchet MS"/>
        </w:rPr>
        <w:t xml:space="preserve"> that relates to a particular individual. A personal interest can be financial or non-financial in nature. </w:t>
      </w:r>
      <w:r>
        <w:rPr>
          <w:rFonts w:ascii="Trebuchet MS" w:hAnsi="Trebuchet MS"/>
        </w:rPr>
        <w:t>An example of this is:</w:t>
      </w:r>
    </w:p>
    <w:p w14:paraId="2A9540C4" w14:textId="784E2F6E" w:rsidR="006C4B59" w:rsidRDefault="006C4B59" w:rsidP="00291BCA">
      <w:pPr>
        <w:pStyle w:val="ListParagraph"/>
        <w:numPr>
          <w:ilvl w:val="0"/>
          <w:numId w:val="7"/>
        </w:numPr>
        <w:jc w:val="both"/>
        <w:rPr>
          <w:rFonts w:ascii="Trebuchet MS" w:hAnsi="Trebuchet MS"/>
        </w:rPr>
      </w:pPr>
      <w:r>
        <w:rPr>
          <w:rFonts w:ascii="Trebuchet MS" w:hAnsi="Trebuchet MS"/>
        </w:rPr>
        <w:t>I</w:t>
      </w:r>
      <w:r w:rsidRPr="006C4B59">
        <w:rPr>
          <w:rFonts w:ascii="Trebuchet MS" w:hAnsi="Trebuchet MS"/>
        </w:rPr>
        <w:t>f a person conducting an investigation into alleged malpractice is actually related to the learner/s accused of malpractice</w:t>
      </w:r>
    </w:p>
    <w:p w14:paraId="6A7E75E9" w14:textId="77777777" w:rsidR="001857A7" w:rsidRPr="006C4B59" w:rsidRDefault="001857A7" w:rsidP="001857A7">
      <w:pPr>
        <w:pStyle w:val="ListParagraph"/>
        <w:ind w:left="720" w:firstLine="0"/>
        <w:jc w:val="both"/>
        <w:rPr>
          <w:rFonts w:ascii="Trebuchet MS" w:hAnsi="Trebuchet MS"/>
        </w:rPr>
      </w:pPr>
    </w:p>
    <w:p w14:paraId="3AE25620" w14:textId="77777777" w:rsidR="006C4B59" w:rsidRDefault="006C4B59" w:rsidP="00291BCA">
      <w:pPr>
        <w:jc w:val="both"/>
        <w:rPr>
          <w:rFonts w:ascii="Trebuchet MS" w:hAnsi="Trebuchet MS"/>
        </w:rPr>
      </w:pPr>
      <w:r w:rsidRPr="006A0FC1">
        <w:rPr>
          <w:rFonts w:ascii="Trebuchet MS" w:hAnsi="Trebuchet MS"/>
        </w:rPr>
        <w:t xml:space="preserve">To determine whether or not a personal interest exists in a particular case, the relevant </w:t>
      </w:r>
      <w:r>
        <w:rPr>
          <w:rFonts w:ascii="Trebuchet MS" w:hAnsi="Trebuchet MS"/>
        </w:rPr>
        <w:t>tests are</w:t>
      </w:r>
      <w:r w:rsidRPr="006A0FC1">
        <w:rPr>
          <w:rFonts w:ascii="Trebuchet MS" w:hAnsi="Trebuchet MS"/>
        </w:rPr>
        <w:t xml:space="preserve">: </w:t>
      </w:r>
    </w:p>
    <w:p w14:paraId="180EE8F0" w14:textId="77777777" w:rsidR="006C4B59" w:rsidRDefault="006C4B59" w:rsidP="00291BCA">
      <w:pPr>
        <w:pStyle w:val="ListParagraph"/>
        <w:numPr>
          <w:ilvl w:val="0"/>
          <w:numId w:val="7"/>
        </w:numPr>
        <w:jc w:val="both"/>
        <w:rPr>
          <w:rFonts w:ascii="Trebuchet MS" w:hAnsi="Trebuchet MS"/>
        </w:rPr>
      </w:pPr>
      <w:r w:rsidRPr="006C4B59">
        <w:rPr>
          <w:rFonts w:ascii="Trebuchet MS" w:hAnsi="Trebuchet MS"/>
        </w:rPr>
        <w:t>Has the person carrying out the assessment, investigation or appeal any reason or incentive to make anything other than a good faith decision?</w:t>
      </w:r>
    </w:p>
    <w:p w14:paraId="0F0AF477" w14:textId="77777777" w:rsidR="006C4B59" w:rsidRDefault="006C4B59" w:rsidP="00291BCA">
      <w:pPr>
        <w:pStyle w:val="ListParagraph"/>
        <w:numPr>
          <w:ilvl w:val="0"/>
          <w:numId w:val="7"/>
        </w:numPr>
        <w:jc w:val="both"/>
        <w:rPr>
          <w:rFonts w:ascii="Trebuchet MS" w:hAnsi="Trebuchet MS"/>
        </w:rPr>
      </w:pPr>
      <w:r>
        <w:rPr>
          <w:rFonts w:ascii="Trebuchet MS" w:hAnsi="Trebuchet MS"/>
        </w:rPr>
        <w:t>W</w:t>
      </w:r>
      <w:r w:rsidRPr="006C4B59">
        <w:rPr>
          <w:rFonts w:ascii="Trebuchet MS" w:hAnsi="Trebuchet MS"/>
        </w:rPr>
        <w:t>ould any informed individual have good reason to conclude that such a reason or incentive exists?</w:t>
      </w:r>
    </w:p>
    <w:p w14:paraId="32513254" w14:textId="77777777" w:rsidR="006C4B59" w:rsidRPr="006C4B59" w:rsidRDefault="006C4B59" w:rsidP="00291BCA">
      <w:pPr>
        <w:pStyle w:val="ListParagraph"/>
        <w:ind w:left="720" w:firstLine="0"/>
        <w:jc w:val="both"/>
        <w:rPr>
          <w:rFonts w:ascii="Trebuchet MS" w:hAnsi="Trebuchet MS"/>
        </w:rPr>
      </w:pPr>
    </w:p>
    <w:p w14:paraId="700483B9" w14:textId="77777777" w:rsidR="006C4B59" w:rsidRDefault="006C4B59" w:rsidP="00291BCA">
      <w:pPr>
        <w:jc w:val="both"/>
        <w:rPr>
          <w:rFonts w:ascii="Trebuchet MS" w:hAnsi="Trebuchet MS"/>
        </w:rPr>
      </w:pPr>
      <w:r>
        <w:rPr>
          <w:rFonts w:ascii="Trebuchet MS" w:hAnsi="Trebuchet MS"/>
        </w:rPr>
        <w:t>T</w:t>
      </w:r>
      <w:r w:rsidRPr="006A0FC1">
        <w:rPr>
          <w:rFonts w:ascii="Trebuchet MS" w:hAnsi="Trebuchet MS"/>
        </w:rPr>
        <w:t>he conditions that refer to a ‘personal interest’ do limit what individuals with such an interest can do (and in some cases prohibit them from doing something altogether). We take this approach where the personal interest cannot be mitigated effectively.</w:t>
      </w:r>
    </w:p>
    <w:p w14:paraId="783E4DC9" w14:textId="77777777" w:rsidR="006C4B59" w:rsidRPr="006A0FC1" w:rsidRDefault="006C4B59" w:rsidP="00291BCA">
      <w:pPr>
        <w:jc w:val="both"/>
        <w:rPr>
          <w:rFonts w:ascii="Trebuchet MS" w:hAnsi="Trebuchet MS"/>
        </w:rPr>
      </w:pPr>
    </w:p>
    <w:p w14:paraId="093B0259" w14:textId="77777777" w:rsidR="006C4B59" w:rsidRPr="006A0FC1" w:rsidRDefault="006C4B59" w:rsidP="00291BCA">
      <w:pPr>
        <w:jc w:val="both"/>
        <w:rPr>
          <w:rFonts w:ascii="Trebuchet MS" w:hAnsi="Trebuchet MS"/>
          <w:sz w:val="24"/>
          <w:szCs w:val="24"/>
        </w:rPr>
      </w:pPr>
      <w:r w:rsidRPr="006A0FC1">
        <w:rPr>
          <w:rFonts w:ascii="Trebuchet MS" w:hAnsi="Trebuchet MS"/>
          <w:b/>
          <w:bCs/>
          <w:sz w:val="24"/>
          <w:szCs w:val="24"/>
        </w:rPr>
        <w:t>Who is responsible for managing the conflicts of interest process at your centre?</w:t>
      </w:r>
      <w:r w:rsidRPr="006A0FC1">
        <w:rPr>
          <w:rFonts w:ascii="Trebuchet MS" w:hAnsi="Trebuchet MS"/>
          <w:sz w:val="24"/>
          <w:szCs w:val="24"/>
        </w:rPr>
        <w:t xml:space="preserve"> </w:t>
      </w:r>
    </w:p>
    <w:p w14:paraId="37D5BA38" w14:textId="345E330B" w:rsidR="006C4B59" w:rsidRDefault="006C4B59" w:rsidP="00291BCA">
      <w:pPr>
        <w:jc w:val="both"/>
        <w:rPr>
          <w:rFonts w:ascii="Trebuchet MS" w:hAnsi="Trebuchet MS"/>
        </w:rPr>
      </w:pPr>
      <w:r w:rsidRPr="006A0FC1">
        <w:rPr>
          <w:rFonts w:ascii="Trebuchet MS" w:hAnsi="Trebuchet MS"/>
        </w:rPr>
        <w:t>The Head of Centre is respon</w:t>
      </w:r>
      <w:r w:rsidR="001857A7">
        <w:rPr>
          <w:rFonts w:ascii="Trebuchet MS" w:hAnsi="Trebuchet MS"/>
        </w:rPr>
        <w:t>sible for managing the conflict of</w:t>
      </w:r>
      <w:r w:rsidRPr="006A0FC1">
        <w:rPr>
          <w:rFonts w:ascii="Trebuchet MS" w:hAnsi="Trebuchet MS"/>
        </w:rPr>
        <w:t xml:space="preserve"> interest process, and must determine how they do so. The </w:t>
      </w:r>
      <w:r w:rsidRPr="00C0153E">
        <w:rPr>
          <w:rFonts w:ascii="Trebuchet MS" w:hAnsi="Trebuchet MS"/>
        </w:rPr>
        <w:t xml:space="preserve">JCQ regulations </w:t>
      </w:r>
      <w:r w:rsidRPr="006A0FC1">
        <w:rPr>
          <w:rFonts w:ascii="Trebuchet MS" w:hAnsi="Trebuchet MS"/>
        </w:rPr>
        <w:t xml:space="preserve">explain what must be reported to </w:t>
      </w:r>
      <w:r>
        <w:rPr>
          <w:rFonts w:ascii="Trebuchet MS" w:hAnsi="Trebuchet MS"/>
        </w:rPr>
        <w:t>our</w:t>
      </w:r>
      <w:r w:rsidRPr="006A0FC1">
        <w:rPr>
          <w:rFonts w:ascii="Trebuchet MS" w:hAnsi="Trebuchet MS"/>
        </w:rPr>
        <w:t xml:space="preserve"> Awarding Organisation,</w:t>
      </w:r>
      <w:r>
        <w:rPr>
          <w:rFonts w:ascii="Trebuchet MS" w:hAnsi="Trebuchet MS"/>
        </w:rPr>
        <w:t xml:space="preserve"> NCFE</w:t>
      </w:r>
      <w:r w:rsidRPr="006A0FC1">
        <w:rPr>
          <w:rFonts w:ascii="Trebuchet MS" w:hAnsi="Trebuchet MS"/>
        </w:rPr>
        <w:t xml:space="preserve"> and what information must be kept on record at our centre. </w:t>
      </w:r>
    </w:p>
    <w:p w14:paraId="1D55BE6D" w14:textId="77777777" w:rsidR="006C4B59" w:rsidRDefault="006C4B59" w:rsidP="00291BCA">
      <w:pPr>
        <w:jc w:val="both"/>
        <w:rPr>
          <w:rFonts w:ascii="Trebuchet MS" w:hAnsi="Trebuchet MS"/>
          <w:b/>
          <w:bCs/>
          <w:sz w:val="24"/>
          <w:szCs w:val="24"/>
        </w:rPr>
      </w:pPr>
    </w:p>
    <w:p w14:paraId="7D772B65" w14:textId="77777777" w:rsidR="006C4B59" w:rsidRPr="006A0FC1" w:rsidRDefault="006C4B59" w:rsidP="00291BCA">
      <w:pPr>
        <w:jc w:val="both"/>
        <w:rPr>
          <w:rFonts w:ascii="Trebuchet MS" w:hAnsi="Trebuchet MS"/>
          <w:sz w:val="24"/>
          <w:szCs w:val="24"/>
        </w:rPr>
      </w:pPr>
      <w:r w:rsidRPr="006A0FC1">
        <w:rPr>
          <w:rFonts w:ascii="Trebuchet MS" w:hAnsi="Trebuchet MS"/>
          <w:b/>
          <w:bCs/>
          <w:sz w:val="24"/>
          <w:szCs w:val="24"/>
        </w:rPr>
        <w:t xml:space="preserve">What centre records should be kept </w:t>
      </w:r>
      <w:r>
        <w:rPr>
          <w:rFonts w:ascii="Trebuchet MS" w:hAnsi="Trebuchet MS"/>
          <w:b/>
          <w:bCs/>
          <w:sz w:val="24"/>
          <w:szCs w:val="24"/>
        </w:rPr>
        <w:t>regarding</w:t>
      </w:r>
      <w:r w:rsidRPr="006A0FC1">
        <w:rPr>
          <w:rFonts w:ascii="Trebuchet MS" w:hAnsi="Trebuchet MS"/>
          <w:b/>
          <w:bCs/>
          <w:sz w:val="24"/>
          <w:szCs w:val="24"/>
        </w:rPr>
        <w:t xml:space="preserve"> conflicts of interest?</w:t>
      </w:r>
      <w:r w:rsidRPr="006A0FC1">
        <w:rPr>
          <w:rFonts w:ascii="Trebuchet MS" w:hAnsi="Trebuchet MS"/>
          <w:sz w:val="24"/>
          <w:szCs w:val="24"/>
        </w:rPr>
        <w:t xml:space="preserve"> </w:t>
      </w:r>
    </w:p>
    <w:p w14:paraId="5FC8ACB0" w14:textId="77777777" w:rsidR="006C4B59" w:rsidRDefault="006C4B59" w:rsidP="00291BCA">
      <w:pPr>
        <w:pStyle w:val="ListParagraph"/>
        <w:numPr>
          <w:ilvl w:val="0"/>
          <w:numId w:val="8"/>
        </w:numPr>
        <w:jc w:val="both"/>
        <w:rPr>
          <w:rFonts w:ascii="Trebuchet MS" w:hAnsi="Trebuchet MS"/>
        </w:rPr>
      </w:pPr>
      <w:r w:rsidRPr="006C4B59">
        <w:rPr>
          <w:rFonts w:ascii="Trebuchet MS" w:hAnsi="Trebuchet MS"/>
        </w:rPr>
        <w:t>Centre staff have members of their family (which includes step-family, foster family and similar close relationships) or close friends and their immediate family (e.g. son/daughter) being entered for assessments through the Active Lancashire centre.</w:t>
      </w:r>
    </w:p>
    <w:p w14:paraId="3095C477" w14:textId="77777777" w:rsidR="006C4B59" w:rsidRDefault="006C4B59" w:rsidP="00291BCA">
      <w:pPr>
        <w:pStyle w:val="ListParagraph"/>
        <w:numPr>
          <w:ilvl w:val="0"/>
          <w:numId w:val="8"/>
        </w:numPr>
        <w:jc w:val="both"/>
        <w:rPr>
          <w:rFonts w:ascii="Trebuchet MS" w:hAnsi="Trebuchet MS"/>
        </w:rPr>
      </w:pPr>
      <w:r w:rsidRPr="006C4B59">
        <w:rPr>
          <w:rFonts w:ascii="Trebuchet MS" w:hAnsi="Trebuchet MS"/>
        </w:rPr>
        <w:t xml:space="preserve">Centre staff are taking qualifications at the centre, which include internally assessed </w:t>
      </w:r>
      <w:r w:rsidRPr="006C4B59">
        <w:rPr>
          <w:rFonts w:ascii="Trebuchet MS" w:hAnsi="Trebuchet MS"/>
        </w:rPr>
        <w:lastRenderedPageBreak/>
        <w:t>components/units.</w:t>
      </w:r>
    </w:p>
    <w:p w14:paraId="7C9ECB9D" w14:textId="77777777" w:rsidR="006C4B59" w:rsidRPr="006C4B59" w:rsidRDefault="006C4B59" w:rsidP="00291BCA">
      <w:pPr>
        <w:pStyle w:val="ListParagraph"/>
        <w:ind w:left="720" w:firstLine="0"/>
        <w:jc w:val="both"/>
        <w:rPr>
          <w:rFonts w:ascii="Trebuchet MS" w:hAnsi="Trebuchet MS"/>
        </w:rPr>
      </w:pPr>
    </w:p>
    <w:p w14:paraId="72F643B0" w14:textId="77777777" w:rsidR="006C4B59" w:rsidRDefault="006C4B59" w:rsidP="00291BCA">
      <w:pPr>
        <w:jc w:val="both"/>
        <w:rPr>
          <w:rFonts w:ascii="Trebuchet MS" w:hAnsi="Trebuchet MS"/>
        </w:rPr>
      </w:pPr>
      <w:r w:rsidRPr="006A0FC1">
        <w:rPr>
          <w:rFonts w:ascii="Trebuchet MS" w:hAnsi="Trebuchet MS"/>
        </w:rPr>
        <w:t>The Head of Centre must ensure that details of the measures taken to mitigate any potential risk to the integrity of the qualifications affected</w:t>
      </w:r>
      <w:r>
        <w:rPr>
          <w:rFonts w:ascii="Trebuchet MS" w:hAnsi="Trebuchet MS"/>
        </w:rPr>
        <w:t xml:space="preserve"> are clearly recorded</w:t>
      </w:r>
      <w:r w:rsidRPr="006A0FC1">
        <w:rPr>
          <w:rFonts w:ascii="Trebuchet MS" w:hAnsi="Trebuchet MS"/>
        </w:rPr>
        <w:t xml:space="preserve">. The records may be inspected by </w:t>
      </w:r>
      <w:r>
        <w:rPr>
          <w:rFonts w:ascii="Trebuchet MS" w:hAnsi="Trebuchet MS"/>
        </w:rPr>
        <w:t xml:space="preserve">NCFE </w:t>
      </w:r>
      <w:r w:rsidRPr="006A0FC1">
        <w:rPr>
          <w:rFonts w:ascii="Trebuchet MS" w:hAnsi="Trebuchet MS"/>
        </w:rPr>
        <w:t xml:space="preserve">staff. They might be requested in the event of concerns being reported to </w:t>
      </w:r>
      <w:r>
        <w:rPr>
          <w:rFonts w:ascii="Trebuchet MS" w:hAnsi="Trebuchet MS"/>
        </w:rPr>
        <w:t>our a</w:t>
      </w:r>
      <w:r w:rsidRPr="006A0FC1">
        <w:rPr>
          <w:rFonts w:ascii="Trebuchet MS" w:hAnsi="Trebuchet MS"/>
        </w:rPr>
        <w:t xml:space="preserve">warding </w:t>
      </w:r>
      <w:r>
        <w:rPr>
          <w:rFonts w:ascii="Trebuchet MS" w:hAnsi="Trebuchet MS"/>
        </w:rPr>
        <w:t>o</w:t>
      </w:r>
      <w:r w:rsidRPr="006A0FC1">
        <w:rPr>
          <w:rFonts w:ascii="Trebuchet MS" w:hAnsi="Trebuchet MS"/>
        </w:rPr>
        <w:t>rganisation.</w:t>
      </w:r>
      <w:r>
        <w:rPr>
          <w:rFonts w:ascii="Trebuchet MS" w:hAnsi="Trebuchet MS"/>
        </w:rPr>
        <w:t xml:space="preserve"> </w:t>
      </w:r>
      <w:r w:rsidRPr="006A0FC1">
        <w:rPr>
          <w:rFonts w:ascii="Trebuchet MS" w:hAnsi="Trebuchet MS"/>
        </w:rPr>
        <w:t xml:space="preserve">The records must be retained until the deadline for reviews of </w:t>
      </w:r>
      <w:r>
        <w:rPr>
          <w:rFonts w:ascii="Trebuchet MS" w:hAnsi="Trebuchet MS"/>
        </w:rPr>
        <w:t>assessments</w:t>
      </w:r>
      <w:r w:rsidRPr="006A0FC1">
        <w:rPr>
          <w:rFonts w:ascii="Trebuchet MS" w:hAnsi="Trebuchet MS"/>
        </w:rPr>
        <w:t xml:space="preserve"> has passed or until any appeal, malpractice or other results enquir</w:t>
      </w:r>
      <w:r>
        <w:rPr>
          <w:rFonts w:ascii="Trebuchet MS" w:hAnsi="Trebuchet MS"/>
        </w:rPr>
        <w:t>ies</w:t>
      </w:r>
      <w:r w:rsidRPr="006A0FC1">
        <w:rPr>
          <w:rFonts w:ascii="Trebuchet MS" w:hAnsi="Trebuchet MS"/>
        </w:rPr>
        <w:t xml:space="preserve"> ha</w:t>
      </w:r>
      <w:r>
        <w:rPr>
          <w:rFonts w:ascii="Trebuchet MS" w:hAnsi="Trebuchet MS"/>
        </w:rPr>
        <w:t>ve</w:t>
      </w:r>
      <w:r w:rsidRPr="006A0FC1">
        <w:rPr>
          <w:rFonts w:ascii="Trebuchet MS" w:hAnsi="Trebuchet MS"/>
        </w:rPr>
        <w:t xml:space="preserve"> been completed, whichever is later. </w:t>
      </w:r>
    </w:p>
    <w:p w14:paraId="6C8FA84D" w14:textId="77777777" w:rsidR="006C4B59" w:rsidRPr="006A0FC1" w:rsidRDefault="006C4B59" w:rsidP="00291BCA">
      <w:pPr>
        <w:jc w:val="both"/>
        <w:rPr>
          <w:rFonts w:ascii="Trebuchet MS" w:hAnsi="Trebuchet MS"/>
        </w:rPr>
      </w:pPr>
      <w:r w:rsidRPr="006A0FC1">
        <w:rPr>
          <w:rFonts w:ascii="Trebuchet MS" w:hAnsi="Trebuchet MS"/>
        </w:rPr>
        <w:t xml:space="preserve">In addition to the above </w:t>
      </w:r>
      <w:r>
        <w:rPr>
          <w:rFonts w:ascii="Trebuchet MS" w:hAnsi="Trebuchet MS"/>
        </w:rPr>
        <w:t xml:space="preserve">recording </w:t>
      </w:r>
      <w:r w:rsidRPr="006A0FC1">
        <w:rPr>
          <w:rFonts w:ascii="Trebuchet MS" w:hAnsi="Trebuchet MS"/>
        </w:rPr>
        <w:t>requirement</w:t>
      </w:r>
      <w:bookmarkStart w:id="0" w:name="_GoBack"/>
      <w:bookmarkEnd w:id="0"/>
      <w:r w:rsidRPr="006A0FC1">
        <w:rPr>
          <w:rFonts w:ascii="Trebuchet MS" w:hAnsi="Trebuchet MS"/>
        </w:rPr>
        <w:t xml:space="preserve">s </w:t>
      </w:r>
      <w:r>
        <w:rPr>
          <w:rFonts w:ascii="Trebuchet MS" w:hAnsi="Trebuchet MS"/>
        </w:rPr>
        <w:t>for</w:t>
      </w:r>
      <w:r w:rsidRPr="006A0FC1">
        <w:rPr>
          <w:rFonts w:ascii="Trebuchet MS" w:hAnsi="Trebuchet MS"/>
        </w:rPr>
        <w:t xml:space="preserve"> </w:t>
      </w:r>
      <w:r>
        <w:rPr>
          <w:rFonts w:ascii="Trebuchet MS" w:hAnsi="Trebuchet MS"/>
        </w:rPr>
        <w:t>the</w:t>
      </w:r>
      <w:r w:rsidRPr="006A0FC1">
        <w:rPr>
          <w:rFonts w:ascii="Trebuchet MS" w:hAnsi="Trebuchet MS"/>
        </w:rPr>
        <w:t xml:space="preserve"> centre</w:t>
      </w:r>
      <w:r>
        <w:rPr>
          <w:rFonts w:ascii="Trebuchet MS" w:hAnsi="Trebuchet MS"/>
        </w:rPr>
        <w:t xml:space="preserve">, </w:t>
      </w:r>
      <w:r w:rsidRPr="006A0FC1">
        <w:rPr>
          <w:rFonts w:ascii="Trebuchet MS" w:hAnsi="Trebuchet MS"/>
        </w:rPr>
        <w:t>if there are any other scenarios which you feel could be, or at least perceived to be, a potential conflict of interest, then they should also be recorded.</w:t>
      </w:r>
    </w:p>
    <w:p w14:paraId="5E388B6E" w14:textId="77777777" w:rsidR="006C4B59" w:rsidRPr="006A0FC1" w:rsidRDefault="006C4B59" w:rsidP="00291BCA">
      <w:pPr>
        <w:jc w:val="both"/>
        <w:rPr>
          <w:rFonts w:ascii="Trebuchet MS" w:hAnsi="Trebuchet MS"/>
        </w:rPr>
      </w:pPr>
    </w:p>
    <w:p w14:paraId="3A49E5BC" w14:textId="77777777" w:rsidR="006C4B59" w:rsidRPr="006A0FC1" w:rsidRDefault="006C4B59" w:rsidP="00291BCA">
      <w:pPr>
        <w:jc w:val="both"/>
        <w:rPr>
          <w:rFonts w:ascii="Trebuchet MS" w:hAnsi="Trebuchet MS"/>
          <w:b/>
          <w:bCs/>
          <w:sz w:val="24"/>
          <w:szCs w:val="24"/>
        </w:rPr>
      </w:pPr>
      <w:r w:rsidRPr="006A0FC1">
        <w:rPr>
          <w:rFonts w:ascii="Trebuchet MS" w:hAnsi="Trebuchet MS"/>
          <w:b/>
          <w:bCs/>
          <w:sz w:val="24"/>
          <w:szCs w:val="24"/>
        </w:rPr>
        <w:t>When do conflicts of interest declarations need to be submitted to NCFE?</w:t>
      </w:r>
    </w:p>
    <w:p w14:paraId="3FFF30EB" w14:textId="77777777" w:rsidR="006C4B59" w:rsidRPr="006A0FC1" w:rsidRDefault="006C4B59" w:rsidP="00291BCA">
      <w:pPr>
        <w:jc w:val="both"/>
        <w:rPr>
          <w:rFonts w:ascii="Trebuchet MS" w:hAnsi="Trebuchet MS"/>
        </w:rPr>
      </w:pPr>
      <w:r>
        <w:rPr>
          <w:rFonts w:ascii="Trebuchet MS" w:hAnsi="Trebuchet MS"/>
        </w:rPr>
        <w:t>NCFE</w:t>
      </w:r>
      <w:r w:rsidRPr="006A0FC1">
        <w:rPr>
          <w:rFonts w:ascii="Trebuchet MS" w:hAnsi="Trebuchet MS"/>
        </w:rPr>
        <w:t xml:space="preserve"> must be informed about conflicts of interest before the published deadline for entries of: </w:t>
      </w:r>
    </w:p>
    <w:p w14:paraId="3C04761F" w14:textId="77777777" w:rsidR="006C4B59" w:rsidRDefault="006C4B59" w:rsidP="00291BCA">
      <w:pPr>
        <w:pStyle w:val="ListParagraph"/>
        <w:numPr>
          <w:ilvl w:val="0"/>
          <w:numId w:val="9"/>
        </w:numPr>
        <w:jc w:val="both"/>
        <w:rPr>
          <w:rFonts w:ascii="Trebuchet MS" w:hAnsi="Trebuchet MS"/>
        </w:rPr>
      </w:pPr>
      <w:r w:rsidRPr="006C4B59">
        <w:rPr>
          <w:rFonts w:ascii="Trebuchet MS" w:hAnsi="Trebuchet MS"/>
        </w:rPr>
        <w:t xml:space="preserve">Any members of centre staff who are taking qualifications at their own centre which include internally assessed components/units </w:t>
      </w:r>
    </w:p>
    <w:p w14:paraId="1234596F" w14:textId="77777777" w:rsidR="006C4B59" w:rsidRDefault="006C4B59" w:rsidP="00291BCA">
      <w:pPr>
        <w:pStyle w:val="ListParagraph"/>
        <w:numPr>
          <w:ilvl w:val="0"/>
          <w:numId w:val="9"/>
        </w:numPr>
        <w:jc w:val="both"/>
        <w:rPr>
          <w:rFonts w:ascii="Trebuchet MS" w:hAnsi="Trebuchet MS"/>
        </w:rPr>
      </w:pPr>
      <w:r w:rsidRPr="006C4B59">
        <w:rPr>
          <w:rFonts w:ascii="Trebuchet MS" w:hAnsi="Trebuchet MS"/>
        </w:rPr>
        <w:t>Any members of centre staff who are teaching and preparing members of their family (which includes step-family, foster family and similar close relationships), or close friends and their immediate family (e.g. son/daughter), for qualifications which include internally assessed compone</w:t>
      </w:r>
      <w:r>
        <w:rPr>
          <w:rFonts w:ascii="Trebuchet MS" w:hAnsi="Trebuchet MS"/>
        </w:rPr>
        <w:t>nts/units.</w:t>
      </w:r>
    </w:p>
    <w:p w14:paraId="7D57A673" w14:textId="77777777" w:rsidR="006C4B59" w:rsidRPr="006C4B59" w:rsidRDefault="006C4B59" w:rsidP="00291BCA">
      <w:pPr>
        <w:pStyle w:val="ListParagraph"/>
        <w:ind w:left="720" w:firstLine="0"/>
        <w:jc w:val="both"/>
        <w:rPr>
          <w:rFonts w:ascii="Trebuchet MS" w:hAnsi="Trebuchet MS"/>
        </w:rPr>
      </w:pPr>
    </w:p>
    <w:p w14:paraId="269993A6" w14:textId="1D0F23AC" w:rsidR="006C4B59" w:rsidRDefault="006C4B59" w:rsidP="00291BCA">
      <w:pPr>
        <w:jc w:val="both"/>
        <w:rPr>
          <w:rFonts w:ascii="Trebuchet MS" w:hAnsi="Trebuchet MS"/>
        </w:rPr>
      </w:pPr>
      <w:r w:rsidRPr="006A0FC1">
        <w:rPr>
          <w:rFonts w:ascii="Trebuchet MS" w:hAnsi="Trebuchet MS"/>
        </w:rPr>
        <w:t xml:space="preserve">Declarations can be submitted by using a </w:t>
      </w:r>
      <w:hyperlink r:id="rId7" w:history="1">
        <w:r w:rsidRPr="007B32FF">
          <w:rPr>
            <w:rStyle w:val="Hyperlink"/>
            <w:rFonts w:ascii="Trebuchet MS" w:hAnsi="Trebuchet MS"/>
          </w:rPr>
          <w:t>web form</w:t>
        </w:r>
      </w:hyperlink>
      <w:r w:rsidRPr="006A0FC1">
        <w:rPr>
          <w:rFonts w:ascii="Trebuchet MS" w:hAnsi="Trebuchet MS"/>
        </w:rPr>
        <w:t xml:space="preserve"> </w:t>
      </w:r>
      <w:r>
        <w:rPr>
          <w:rFonts w:ascii="Trebuchet MS" w:hAnsi="Trebuchet MS"/>
        </w:rPr>
        <w:t>on the NCFE</w:t>
      </w:r>
      <w:r w:rsidRPr="006A0FC1">
        <w:rPr>
          <w:rFonts w:ascii="Trebuchet MS" w:hAnsi="Trebuchet MS"/>
        </w:rPr>
        <w:t xml:space="preserve"> Qual Hub. Once you have submitted your conflict of interest, you do not need to take any further action. </w:t>
      </w:r>
      <w:r>
        <w:rPr>
          <w:rFonts w:ascii="Trebuchet MS" w:hAnsi="Trebuchet MS"/>
        </w:rPr>
        <w:t>The</w:t>
      </w:r>
      <w:r w:rsidR="00C0153E">
        <w:rPr>
          <w:rFonts w:ascii="Trebuchet MS" w:hAnsi="Trebuchet MS"/>
        </w:rPr>
        <w:t xml:space="preserve"> NCFE</w:t>
      </w:r>
      <w:r w:rsidRPr="006A0FC1">
        <w:rPr>
          <w:rFonts w:ascii="Trebuchet MS" w:hAnsi="Trebuchet MS"/>
        </w:rPr>
        <w:t xml:space="preserve"> External Quality Assurance team will get in touch with you within 5 working days if any further information</w:t>
      </w:r>
      <w:r>
        <w:rPr>
          <w:rFonts w:ascii="Trebuchet MS" w:hAnsi="Trebuchet MS"/>
        </w:rPr>
        <w:t xml:space="preserve"> is required</w:t>
      </w:r>
      <w:r w:rsidRPr="006A0FC1">
        <w:rPr>
          <w:rFonts w:ascii="Trebuchet MS" w:hAnsi="Trebuchet MS"/>
        </w:rPr>
        <w:t xml:space="preserve">. Centres must note that entering members of centre staff for qualifications at their own centre must be a last resort in cases where the member of centre staff is unable to find another centre. </w:t>
      </w:r>
    </w:p>
    <w:p w14:paraId="732820C7" w14:textId="5A9C06C5" w:rsidR="00C0153E" w:rsidRDefault="00C0153E" w:rsidP="00291BCA">
      <w:pPr>
        <w:jc w:val="both"/>
        <w:rPr>
          <w:rFonts w:ascii="Trebuchet MS" w:hAnsi="Trebuchet MS"/>
          <w:color w:val="FF0000"/>
        </w:rPr>
      </w:pPr>
    </w:p>
    <w:p w14:paraId="2EBCA4A2" w14:textId="7AEB95E1" w:rsidR="00C0153E" w:rsidRPr="00C0153E" w:rsidRDefault="00C0153E" w:rsidP="00291BCA">
      <w:pPr>
        <w:jc w:val="both"/>
        <w:rPr>
          <w:rFonts w:ascii="Trebuchet MS" w:hAnsi="Trebuchet MS"/>
        </w:rPr>
      </w:pPr>
      <w:r w:rsidRPr="00C0153E">
        <w:rPr>
          <w:rFonts w:ascii="Trebuchet MS" w:hAnsi="Trebuchet MS"/>
        </w:rPr>
        <w:t>This procedure will be reviewed annually.</w:t>
      </w:r>
    </w:p>
    <w:p w14:paraId="7F78DBFA" w14:textId="77777777" w:rsidR="00C0153E" w:rsidRDefault="00C0153E" w:rsidP="00291BCA">
      <w:pPr>
        <w:jc w:val="both"/>
        <w:rPr>
          <w:rFonts w:ascii="Trebuchet MS" w:hAnsi="Trebuchet MS"/>
          <w:color w:val="FF0000"/>
        </w:rPr>
      </w:pPr>
    </w:p>
    <w:p w14:paraId="2B91296A" w14:textId="77777777" w:rsidR="00291BCA" w:rsidRPr="00E21A92" w:rsidRDefault="00291BCA" w:rsidP="00291BCA">
      <w:pPr>
        <w:rPr>
          <w:rFonts w:ascii="Trebuchet MS" w:hAnsi="Trebuchet MS"/>
          <w:sz w:val="24"/>
        </w:rPr>
      </w:pPr>
      <w:r>
        <w:rPr>
          <w:rFonts w:ascii="Trebuchet MS" w:hAnsi="Trebuchet MS"/>
          <w:sz w:val="24"/>
        </w:rPr>
        <w:t>Version Control:</w:t>
      </w:r>
    </w:p>
    <w:tbl>
      <w:tblPr>
        <w:tblStyle w:val="TableGrid"/>
        <w:tblW w:w="0" w:type="auto"/>
        <w:tblInd w:w="100" w:type="dxa"/>
        <w:tblLook w:val="04A0" w:firstRow="1" w:lastRow="0" w:firstColumn="1" w:lastColumn="0" w:noHBand="0" w:noVBand="1"/>
      </w:tblPr>
      <w:tblGrid>
        <w:gridCol w:w="2629"/>
        <w:gridCol w:w="2629"/>
      </w:tblGrid>
      <w:tr w:rsidR="00291BCA" w:rsidRPr="00EB295D" w14:paraId="5BE5BAA5" w14:textId="77777777" w:rsidTr="00721787">
        <w:trPr>
          <w:trHeight w:hRule="exact" w:val="492"/>
        </w:trPr>
        <w:tc>
          <w:tcPr>
            <w:tcW w:w="2629" w:type="dxa"/>
          </w:tcPr>
          <w:p w14:paraId="7AEE8D1E" w14:textId="77777777" w:rsidR="00291BCA" w:rsidRPr="00EB295D" w:rsidRDefault="00291BCA" w:rsidP="00721787">
            <w:pPr>
              <w:widowControl w:val="0"/>
              <w:autoSpaceDE w:val="0"/>
              <w:autoSpaceDN w:val="0"/>
              <w:spacing w:before="200" w:line="276" w:lineRule="auto"/>
              <w:ind w:right="117"/>
              <w:jc w:val="both"/>
              <w:rPr>
                <w:rFonts w:ascii="Trebuchet MS" w:eastAsia="Calibri" w:hAnsi="Trebuchet MS" w:cs="Calibri"/>
                <w:lang w:eastAsia="en-GB" w:bidi="en-GB"/>
              </w:rPr>
            </w:pPr>
            <w:r>
              <w:rPr>
                <w:rFonts w:ascii="Trebuchet MS" w:eastAsia="Calibri" w:hAnsi="Trebuchet MS" w:cs="Calibri"/>
                <w:lang w:eastAsia="en-GB" w:bidi="en-GB"/>
              </w:rPr>
              <w:t>August 2021</w:t>
            </w:r>
          </w:p>
        </w:tc>
        <w:tc>
          <w:tcPr>
            <w:tcW w:w="2629" w:type="dxa"/>
          </w:tcPr>
          <w:p w14:paraId="2CA89EED" w14:textId="77777777" w:rsidR="00291BCA" w:rsidRPr="00EB295D" w:rsidRDefault="00291BCA" w:rsidP="00721787">
            <w:pPr>
              <w:widowControl w:val="0"/>
              <w:autoSpaceDE w:val="0"/>
              <w:autoSpaceDN w:val="0"/>
              <w:spacing w:before="200" w:line="276" w:lineRule="auto"/>
              <w:ind w:right="117"/>
              <w:jc w:val="both"/>
              <w:rPr>
                <w:rFonts w:ascii="Trebuchet MS" w:eastAsia="Calibri" w:hAnsi="Trebuchet MS" w:cs="Calibri"/>
                <w:lang w:eastAsia="en-GB" w:bidi="en-GB"/>
              </w:rPr>
            </w:pPr>
            <w:r w:rsidRPr="00EB295D">
              <w:rPr>
                <w:rFonts w:ascii="Trebuchet MS" w:eastAsia="Calibri" w:hAnsi="Trebuchet MS" w:cs="Calibri"/>
                <w:lang w:eastAsia="en-GB" w:bidi="en-GB"/>
              </w:rPr>
              <w:t>Beth Kay</w:t>
            </w:r>
          </w:p>
        </w:tc>
      </w:tr>
      <w:tr w:rsidR="00291BCA" w:rsidRPr="00EB295D" w14:paraId="4896B625" w14:textId="77777777" w:rsidTr="00721787">
        <w:trPr>
          <w:trHeight w:hRule="exact" w:val="492"/>
        </w:trPr>
        <w:tc>
          <w:tcPr>
            <w:tcW w:w="2629" w:type="dxa"/>
          </w:tcPr>
          <w:p w14:paraId="17362FE6" w14:textId="77777777" w:rsidR="00291BCA" w:rsidRPr="00EB295D" w:rsidRDefault="00291BCA" w:rsidP="00721787">
            <w:pPr>
              <w:widowControl w:val="0"/>
              <w:autoSpaceDE w:val="0"/>
              <w:autoSpaceDN w:val="0"/>
              <w:spacing w:before="200" w:line="276" w:lineRule="auto"/>
              <w:ind w:right="117"/>
              <w:jc w:val="both"/>
              <w:rPr>
                <w:rFonts w:ascii="Trebuchet MS" w:eastAsia="Calibri" w:hAnsi="Trebuchet MS" w:cs="Calibri"/>
                <w:lang w:eastAsia="en-GB" w:bidi="en-GB"/>
              </w:rPr>
            </w:pPr>
            <w:r w:rsidRPr="00EB295D">
              <w:rPr>
                <w:rFonts w:ascii="Trebuchet MS" w:eastAsia="Calibri" w:hAnsi="Trebuchet MS" w:cs="Calibri"/>
                <w:lang w:eastAsia="en-GB" w:bidi="en-GB"/>
              </w:rPr>
              <w:t>August 2022</w:t>
            </w:r>
          </w:p>
        </w:tc>
        <w:tc>
          <w:tcPr>
            <w:tcW w:w="2629" w:type="dxa"/>
          </w:tcPr>
          <w:p w14:paraId="14D849DF" w14:textId="77777777" w:rsidR="00291BCA" w:rsidRPr="00EB295D" w:rsidRDefault="00291BCA" w:rsidP="00721787">
            <w:pPr>
              <w:widowControl w:val="0"/>
              <w:autoSpaceDE w:val="0"/>
              <w:autoSpaceDN w:val="0"/>
              <w:spacing w:before="200" w:line="276" w:lineRule="auto"/>
              <w:ind w:right="117"/>
              <w:jc w:val="both"/>
              <w:rPr>
                <w:rFonts w:ascii="Trebuchet MS" w:eastAsia="Calibri" w:hAnsi="Trebuchet MS" w:cs="Calibri"/>
                <w:lang w:eastAsia="en-GB" w:bidi="en-GB"/>
              </w:rPr>
            </w:pPr>
            <w:r w:rsidRPr="00EB295D">
              <w:rPr>
                <w:rFonts w:ascii="Trebuchet MS" w:eastAsia="Calibri" w:hAnsi="Trebuchet MS" w:cs="Calibri"/>
                <w:lang w:eastAsia="en-GB" w:bidi="en-GB"/>
              </w:rPr>
              <w:t>Beth Kay</w:t>
            </w:r>
          </w:p>
        </w:tc>
      </w:tr>
    </w:tbl>
    <w:p w14:paraId="6CC2032C" w14:textId="657E74F7" w:rsidR="006C4B59" w:rsidRPr="006B50B0" w:rsidRDefault="006C4B59" w:rsidP="00291BCA">
      <w:pPr>
        <w:jc w:val="both"/>
        <w:rPr>
          <w:rFonts w:ascii="Trebuchet MS" w:hAnsi="Trebuchet MS"/>
          <w:color w:val="FF0000"/>
        </w:rPr>
      </w:pPr>
    </w:p>
    <w:p w14:paraId="6A008DD7" w14:textId="77777777" w:rsidR="00C4306D" w:rsidRPr="00C4306D" w:rsidRDefault="00C4306D" w:rsidP="00291BCA">
      <w:pPr>
        <w:jc w:val="both"/>
        <w:rPr>
          <w:rFonts w:ascii="Trebuchet MS" w:hAnsi="Trebuchet MS"/>
          <w:sz w:val="24"/>
          <w:szCs w:val="24"/>
        </w:rPr>
      </w:pPr>
    </w:p>
    <w:p w14:paraId="324E6FCF" w14:textId="77777777" w:rsidR="00EA49F0" w:rsidRPr="00C4306D" w:rsidRDefault="00EA49F0" w:rsidP="00291BCA">
      <w:pPr>
        <w:jc w:val="both"/>
        <w:rPr>
          <w:rFonts w:ascii="Trebuchet MS" w:hAnsi="Trebuchet MS"/>
          <w:sz w:val="24"/>
          <w:szCs w:val="24"/>
        </w:rPr>
      </w:pPr>
    </w:p>
    <w:sectPr w:rsidR="00EA49F0" w:rsidRPr="00C4306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5A516" w14:textId="77777777" w:rsidR="003D7734" w:rsidRDefault="003D7734" w:rsidP="00A70E39">
      <w:pPr>
        <w:spacing w:after="0" w:line="240" w:lineRule="auto"/>
      </w:pPr>
      <w:r>
        <w:separator/>
      </w:r>
    </w:p>
  </w:endnote>
  <w:endnote w:type="continuationSeparator" w:id="0">
    <w:p w14:paraId="0EE6A144" w14:textId="77777777" w:rsidR="003D7734" w:rsidRDefault="003D7734" w:rsidP="00A7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B8099" w14:textId="77777777" w:rsidR="009B5792" w:rsidRDefault="009B579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551CE" w14:textId="77777777" w:rsidR="009B5792" w:rsidRDefault="009B579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F20BB" w14:textId="77777777" w:rsidR="009B5792" w:rsidRDefault="009B57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437F6" w14:textId="77777777" w:rsidR="003D7734" w:rsidRDefault="003D7734" w:rsidP="00A70E39">
      <w:pPr>
        <w:spacing w:after="0" w:line="240" w:lineRule="auto"/>
      </w:pPr>
      <w:r>
        <w:separator/>
      </w:r>
    </w:p>
  </w:footnote>
  <w:footnote w:type="continuationSeparator" w:id="0">
    <w:p w14:paraId="7061E616" w14:textId="77777777" w:rsidR="003D7734" w:rsidRDefault="003D7734" w:rsidP="00A70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F2834" w14:textId="77777777" w:rsidR="009B5792" w:rsidRDefault="009B579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FA0DA" w14:textId="77777777" w:rsidR="00A70E39" w:rsidRDefault="00A70E39">
    <w:pPr>
      <w:pStyle w:val="Header"/>
    </w:pPr>
    <w:r>
      <w:rPr>
        <w:noProof/>
        <w:lang w:eastAsia="en-GB"/>
      </w:rPr>
      <w:drawing>
        <wp:anchor distT="0" distB="0" distL="114300" distR="114300" simplePos="0" relativeHeight="251659264" behindDoc="1" locked="0" layoutInCell="1" allowOverlap="1" wp14:anchorId="1C5C0E50" wp14:editId="129DD78D">
          <wp:simplePos x="0" y="0"/>
          <wp:positionH relativeFrom="margin">
            <wp:posOffset>4188460</wp:posOffset>
          </wp:positionH>
          <wp:positionV relativeFrom="paragraph">
            <wp:posOffset>-274955</wp:posOffset>
          </wp:positionV>
          <wp:extent cx="1543050" cy="612140"/>
          <wp:effectExtent l="0" t="0" r="0" b="0"/>
          <wp:wrapTight wrapText="bothSides">
            <wp:wrapPolygon edited="0">
              <wp:start x="0" y="0"/>
              <wp:lineTo x="0" y="20838"/>
              <wp:lineTo x="21333" y="20838"/>
              <wp:lineTo x="21333" y="0"/>
              <wp:lineTo x="0" y="0"/>
            </wp:wrapPolygon>
          </wp:wrapTight>
          <wp:docPr id="2" name="Picture 2" descr="Active Lancashire | Sport / Health / Inspire"/>
          <wp:cNvGraphicFramePr/>
          <a:graphic xmlns:a="http://schemas.openxmlformats.org/drawingml/2006/main">
            <a:graphicData uri="http://schemas.openxmlformats.org/drawingml/2006/picture">
              <pic:pic xmlns:pic="http://schemas.openxmlformats.org/drawingml/2006/picture">
                <pic:nvPicPr>
                  <pic:cNvPr id="2" name="Picture 2" descr="Active Lancashire | Sport / Health / Inspir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61214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46DA6" w14:textId="77777777" w:rsidR="009B5792" w:rsidRDefault="009B57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F41"/>
    <w:multiLevelType w:val="hybridMultilevel"/>
    <w:tmpl w:val="2B3C1CE0"/>
    <w:lvl w:ilvl="0" w:tplc="73ECC7CE">
      <w:numFmt w:val="bullet"/>
      <w:lvlText w:val=""/>
      <w:lvlJc w:val="left"/>
      <w:pPr>
        <w:ind w:left="820" w:hanging="360"/>
      </w:pPr>
      <w:rPr>
        <w:rFonts w:ascii="Symbol" w:eastAsia="Symbol" w:hAnsi="Symbol" w:cs="Symbol" w:hint="default"/>
        <w:w w:val="100"/>
        <w:sz w:val="24"/>
        <w:szCs w:val="24"/>
        <w:lang w:val="en-GB" w:eastAsia="en-GB" w:bidi="en-GB"/>
      </w:rPr>
    </w:lvl>
    <w:lvl w:ilvl="1" w:tplc="D966B00A">
      <w:numFmt w:val="bullet"/>
      <w:lvlText w:val=""/>
      <w:lvlJc w:val="left"/>
      <w:pPr>
        <w:ind w:left="1540" w:hanging="360"/>
      </w:pPr>
      <w:rPr>
        <w:rFonts w:ascii="Symbol" w:eastAsia="Symbol" w:hAnsi="Symbol" w:cs="Symbol" w:hint="default"/>
        <w:w w:val="100"/>
        <w:sz w:val="24"/>
        <w:szCs w:val="24"/>
        <w:lang w:val="en-GB" w:eastAsia="en-GB" w:bidi="en-GB"/>
      </w:rPr>
    </w:lvl>
    <w:lvl w:ilvl="2" w:tplc="222425CA">
      <w:numFmt w:val="bullet"/>
      <w:lvlText w:val="•"/>
      <w:lvlJc w:val="left"/>
      <w:pPr>
        <w:ind w:left="2397" w:hanging="360"/>
      </w:pPr>
      <w:rPr>
        <w:rFonts w:hint="default"/>
        <w:lang w:val="en-GB" w:eastAsia="en-GB" w:bidi="en-GB"/>
      </w:rPr>
    </w:lvl>
    <w:lvl w:ilvl="3" w:tplc="145ED8F4">
      <w:numFmt w:val="bullet"/>
      <w:lvlText w:val="•"/>
      <w:lvlJc w:val="left"/>
      <w:pPr>
        <w:ind w:left="3255" w:hanging="360"/>
      </w:pPr>
      <w:rPr>
        <w:rFonts w:hint="default"/>
        <w:lang w:val="en-GB" w:eastAsia="en-GB" w:bidi="en-GB"/>
      </w:rPr>
    </w:lvl>
    <w:lvl w:ilvl="4" w:tplc="A042A7E8">
      <w:numFmt w:val="bullet"/>
      <w:lvlText w:val="•"/>
      <w:lvlJc w:val="left"/>
      <w:pPr>
        <w:ind w:left="4113" w:hanging="360"/>
      </w:pPr>
      <w:rPr>
        <w:rFonts w:hint="default"/>
        <w:lang w:val="en-GB" w:eastAsia="en-GB" w:bidi="en-GB"/>
      </w:rPr>
    </w:lvl>
    <w:lvl w:ilvl="5" w:tplc="19E8450A">
      <w:numFmt w:val="bullet"/>
      <w:lvlText w:val="•"/>
      <w:lvlJc w:val="left"/>
      <w:pPr>
        <w:ind w:left="4971" w:hanging="360"/>
      </w:pPr>
      <w:rPr>
        <w:rFonts w:hint="default"/>
        <w:lang w:val="en-GB" w:eastAsia="en-GB" w:bidi="en-GB"/>
      </w:rPr>
    </w:lvl>
    <w:lvl w:ilvl="6" w:tplc="F1BE8990">
      <w:numFmt w:val="bullet"/>
      <w:lvlText w:val="•"/>
      <w:lvlJc w:val="left"/>
      <w:pPr>
        <w:ind w:left="5829" w:hanging="360"/>
      </w:pPr>
      <w:rPr>
        <w:rFonts w:hint="default"/>
        <w:lang w:val="en-GB" w:eastAsia="en-GB" w:bidi="en-GB"/>
      </w:rPr>
    </w:lvl>
    <w:lvl w:ilvl="7" w:tplc="FA2ABE76">
      <w:numFmt w:val="bullet"/>
      <w:lvlText w:val="•"/>
      <w:lvlJc w:val="left"/>
      <w:pPr>
        <w:ind w:left="6687" w:hanging="360"/>
      </w:pPr>
      <w:rPr>
        <w:rFonts w:hint="default"/>
        <w:lang w:val="en-GB" w:eastAsia="en-GB" w:bidi="en-GB"/>
      </w:rPr>
    </w:lvl>
    <w:lvl w:ilvl="8" w:tplc="341ECC96">
      <w:numFmt w:val="bullet"/>
      <w:lvlText w:val="•"/>
      <w:lvlJc w:val="left"/>
      <w:pPr>
        <w:ind w:left="7545" w:hanging="360"/>
      </w:pPr>
      <w:rPr>
        <w:rFonts w:hint="default"/>
        <w:lang w:val="en-GB" w:eastAsia="en-GB" w:bidi="en-GB"/>
      </w:rPr>
    </w:lvl>
  </w:abstractNum>
  <w:abstractNum w:abstractNumId="1" w15:restartNumberingAfterBreak="0">
    <w:nsid w:val="049A3A41"/>
    <w:multiLevelType w:val="hybridMultilevel"/>
    <w:tmpl w:val="0660E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61DA2"/>
    <w:multiLevelType w:val="hybridMultilevel"/>
    <w:tmpl w:val="F08CD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65B70"/>
    <w:multiLevelType w:val="hybridMultilevel"/>
    <w:tmpl w:val="830A8A76"/>
    <w:lvl w:ilvl="0" w:tplc="F2203960">
      <w:start w:val="1"/>
      <w:numFmt w:val="decimal"/>
      <w:lvlText w:val="%1."/>
      <w:lvlJc w:val="left"/>
      <w:pPr>
        <w:ind w:left="819" w:hanging="360"/>
      </w:pPr>
      <w:rPr>
        <w:rFonts w:hint="default"/>
        <w:sz w:val="24"/>
        <w:szCs w:val="24"/>
      </w:rPr>
    </w:lvl>
    <w:lvl w:ilvl="1" w:tplc="08090019">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4" w15:restartNumberingAfterBreak="0">
    <w:nsid w:val="12CB3290"/>
    <w:multiLevelType w:val="hybridMultilevel"/>
    <w:tmpl w:val="104EF04A"/>
    <w:lvl w:ilvl="0" w:tplc="1AB0336C">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812946"/>
    <w:multiLevelType w:val="multilevel"/>
    <w:tmpl w:val="3E98DFC4"/>
    <w:lvl w:ilvl="0">
      <w:start w:val="1"/>
      <w:numFmt w:val="decimal"/>
      <w:lvlText w:val="%1."/>
      <w:lvlJc w:val="left"/>
      <w:pPr>
        <w:ind w:left="360" w:hanging="360"/>
      </w:p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E6720E"/>
    <w:multiLevelType w:val="hybridMultilevel"/>
    <w:tmpl w:val="8370C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E60A59"/>
    <w:multiLevelType w:val="hybridMultilevel"/>
    <w:tmpl w:val="469E714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70747139"/>
    <w:multiLevelType w:val="hybridMultilevel"/>
    <w:tmpl w:val="AA68DAE0"/>
    <w:lvl w:ilvl="0" w:tplc="73ECC7CE">
      <w:numFmt w:val="bullet"/>
      <w:lvlText w:val=""/>
      <w:lvlJc w:val="left"/>
      <w:pPr>
        <w:ind w:left="820" w:hanging="360"/>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8"/>
  </w:num>
  <w:num w:numId="5">
    <w:abstractNumId w:val="3"/>
  </w:num>
  <w:num w:numId="6">
    <w:abstractNumId w:val="7"/>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C8"/>
    <w:rsid w:val="00031C84"/>
    <w:rsid w:val="00090B04"/>
    <w:rsid w:val="001857A7"/>
    <w:rsid w:val="00291BCA"/>
    <w:rsid w:val="003D7734"/>
    <w:rsid w:val="005345D4"/>
    <w:rsid w:val="006C4B59"/>
    <w:rsid w:val="007B32FF"/>
    <w:rsid w:val="00912E53"/>
    <w:rsid w:val="009664A4"/>
    <w:rsid w:val="009B55C8"/>
    <w:rsid w:val="009B5792"/>
    <w:rsid w:val="00A70E39"/>
    <w:rsid w:val="00C0153E"/>
    <w:rsid w:val="00C4306D"/>
    <w:rsid w:val="00D34DC9"/>
    <w:rsid w:val="00D83219"/>
    <w:rsid w:val="00EA4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AF3669"/>
  <w15:chartTrackingRefBased/>
  <w15:docId w15:val="{2EBE8566-1B62-4169-842C-D1EE61B5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34DC9"/>
    <w:pPr>
      <w:widowControl w:val="0"/>
      <w:autoSpaceDE w:val="0"/>
      <w:autoSpaceDN w:val="0"/>
      <w:spacing w:after="0" w:line="240" w:lineRule="auto"/>
      <w:ind w:left="820"/>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D34DC9"/>
    <w:rPr>
      <w:rFonts w:ascii="Calibri" w:eastAsia="Calibri" w:hAnsi="Calibri" w:cs="Calibri"/>
      <w:sz w:val="24"/>
      <w:szCs w:val="24"/>
      <w:lang w:eastAsia="en-GB" w:bidi="en-GB"/>
    </w:rPr>
  </w:style>
  <w:style w:type="paragraph" w:styleId="ListParagraph">
    <w:name w:val="List Paragraph"/>
    <w:basedOn w:val="Normal"/>
    <w:uiPriority w:val="1"/>
    <w:qFormat/>
    <w:rsid w:val="00D34DC9"/>
    <w:pPr>
      <w:widowControl w:val="0"/>
      <w:autoSpaceDE w:val="0"/>
      <w:autoSpaceDN w:val="0"/>
      <w:spacing w:before="45" w:after="0" w:line="240" w:lineRule="auto"/>
      <w:ind w:left="820" w:hanging="361"/>
    </w:pPr>
    <w:rPr>
      <w:rFonts w:ascii="Calibri" w:eastAsia="Calibri" w:hAnsi="Calibri" w:cs="Calibri"/>
      <w:lang w:eastAsia="en-GB" w:bidi="en-GB"/>
    </w:rPr>
  </w:style>
  <w:style w:type="paragraph" w:styleId="Header">
    <w:name w:val="header"/>
    <w:basedOn w:val="Normal"/>
    <w:link w:val="HeaderChar"/>
    <w:uiPriority w:val="99"/>
    <w:unhideWhenUsed/>
    <w:rsid w:val="00A70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E39"/>
  </w:style>
  <w:style w:type="paragraph" w:styleId="Footer">
    <w:name w:val="footer"/>
    <w:basedOn w:val="Normal"/>
    <w:link w:val="FooterChar"/>
    <w:uiPriority w:val="99"/>
    <w:unhideWhenUsed/>
    <w:rsid w:val="00A70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E39"/>
  </w:style>
  <w:style w:type="character" w:styleId="Hyperlink">
    <w:name w:val="Hyperlink"/>
    <w:basedOn w:val="DefaultParagraphFont"/>
    <w:uiPriority w:val="99"/>
    <w:unhideWhenUsed/>
    <w:rsid w:val="00C4306D"/>
    <w:rPr>
      <w:color w:val="0563C1" w:themeColor="hyperlink"/>
      <w:u w:val="single"/>
    </w:rPr>
  </w:style>
  <w:style w:type="character" w:styleId="FollowedHyperlink">
    <w:name w:val="FollowedHyperlink"/>
    <w:basedOn w:val="DefaultParagraphFont"/>
    <w:uiPriority w:val="99"/>
    <w:semiHidden/>
    <w:unhideWhenUsed/>
    <w:rsid w:val="009664A4"/>
    <w:rPr>
      <w:color w:val="954F72" w:themeColor="followedHyperlink"/>
      <w:u w:val="single"/>
    </w:rPr>
  </w:style>
  <w:style w:type="table" w:styleId="TableGrid">
    <w:name w:val="Table Grid"/>
    <w:basedOn w:val="TableNormal"/>
    <w:uiPriority w:val="39"/>
    <w:rsid w:val="00291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orms.office.com/Pages/ResponsePage.aspx?id=OLfWPBC74kyXjZ_pZ90tutEY_Xb-Fh9Ohu4Skqz5G6xUM1dOQkVLSTNXMkpYVTY0QVZZMzVQOEZBVSQlQCN0PWc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Walton</dc:creator>
  <cp:keywords/>
  <dc:description/>
  <cp:lastModifiedBy>Beth Kay</cp:lastModifiedBy>
  <cp:revision>3</cp:revision>
  <dcterms:created xsi:type="dcterms:W3CDTF">2022-08-25T09:52:00Z</dcterms:created>
  <dcterms:modified xsi:type="dcterms:W3CDTF">2022-08-25T09:54:00Z</dcterms:modified>
</cp:coreProperties>
</file>