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831"/>
        <w:tblW w:w="21831" w:type="dxa"/>
        <w:tblLook w:val="04A0" w:firstRow="1" w:lastRow="0" w:firstColumn="1" w:lastColumn="0" w:noHBand="0" w:noVBand="1"/>
      </w:tblPr>
      <w:tblGrid>
        <w:gridCol w:w="3114"/>
        <w:gridCol w:w="3260"/>
        <w:gridCol w:w="3260"/>
        <w:gridCol w:w="4111"/>
        <w:gridCol w:w="2835"/>
        <w:gridCol w:w="1985"/>
        <w:gridCol w:w="3266"/>
      </w:tblGrid>
      <w:tr w:rsidR="004C31E9" w14:paraId="143A38AC" w14:textId="77777777" w:rsidTr="00925033">
        <w:tc>
          <w:tcPr>
            <w:tcW w:w="21831" w:type="dxa"/>
            <w:gridSpan w:val="7"/>
            <w:tcBorders>
              <w:top w:val="nil"/>
              <w:left w:val="nil"/>
              <w:bottom w:val="single" w:sz="4" w:space="0" w:color="auto"/>
              <w:right w:val="nil"/>
            </w:tcBorders>
          </w:tcPr>
          <w:p w14:paraId="67A360B1" w14:textId="77777777" w:rsidR="004C31E9" w:rsidRDefault="004C31E9" w:rsidP="00925033">
            <w:pPr>
              <w:rPr>
                <w:rFonts w:ascii="Poppins" w:hAnsi="Poppins" w:cs="Poppins"/>
                <w:b/>
                <w:bCs/>
                <w:color w:val="002060"/>
                <w:sz w:val="28"/>
                <w:szCs w:val="28"/>
              </w:rPr>
            </w:pPr>
            <w:r w:rsidRPr="00B71CC3">
              <w:rPr>
                <w:rFonts w:ascii="Poppins" w:hAnsi="Poppins" w:cs="Poppins"/>
                <w:b/>
                <w:bCs/>
                <w:color w:val="002060"/>
                <w:sz w:val="28"/>
                <w:szCs w:val="28"/>
              </w:rPr>
              <w:t xml:space="preserve">Place </w:t>
            </w:r>
            <w:r>
              <w:rPr>
                <w:rFonts w:ascii="Poppins" w:hAnsi="Poppins" w:cs="Poppins"/>
                <w:b/>
                <w:bCs/>
                <w:color w:val="002060"/>
                <w:sz w:val="28"/>
                <w:szCs w:val="28"/>
              </w:rPr>
              <w:t>Cluster</w:t>
            </w:r>
            <w:r w:rsidRPr="00B71CC3">
              <w:rPr>
                <w:rFonts w:ascii="Poppins" w:hAnsi="Poppins" w:cs="Poppins"/>
                <w:b/>
                <w:bCs/>
                <w:color w:val="002060"/>
                <w:sz w:val="28"/>
                <w:szCs w:val="28"/>
              </w:rPr>
              <w:t xml:space="preserve"> Delivery Plan Template</w:t>
            </w:r>
          </w:p>
          <w:p w14:paraId="01C16529" w14:textId="12BDE577" w:rsidR="004C31E9" w:rsidRDefault="004C31E9" w:rsidP="00925033">
            <w:pPr>
              <w:rPr>
                <w:rFonts w:ascii="Poppins" w:hAnsi="Poppins" w:cs="Poppins"/>
                <w:b/>
                <w:bCs/>
                <w:color w:val="002060"/>
                <w:sz w:val="28"/>
                <w:szCs w:val="28"/>
              </w:rPr>
            </w:pPr>
            <w:r>
              <w:rPr>
                <w:rFonts w:ascii="Poppins" w:hAnsi="Poppins" w:cs="Poppins"/>
                <w:b/>
                <w:bCs/>
                <w:color w:val="002060"/>
                <w:sz w:val="28"/>
                <w:szCs w:val="28"/>
              </w:rPr>
              <w:t>Cluster Name:</w:t>
            </w:r>
            <w:r w:rsidR="009B18B1">
              <w:rPr>
                <w:rFonts w:ascii="Poppins" w:hAnsi="Poppins" w:cs="Poppins"/>
                <w:b/>
                <w:bCs/>
                <w:color w:val="002060"/>
                <w:sz w:val="28"/>
                <w:szCs w:val="28"/>
              </w:rPr>
              <w:t xml:space="preserve"> NW</w:t>
            </w:r>
          </w:p>
          <w:p w14:paraId="735276DC" w14:textId="27B0E9D9" w:rsidR="004C31E9" w:rsidRDefault="004C31E9" w:rsidP="00925033">
            <w:pPr>
              <w:rPr>
                <w:rFonts w:ascii="Poppins" w:hAnsi="Poppins" w:cs="Poppins"/>
                <w:b/>
                <w:bCs/>
                <w:color w:val="002060"/>
                <w:sz w:val="28"/>
                <w:szCs w:val="28"/>
              </w:rPr>
            </w:pPr>
            <w:r>
              <w:rPr>
                <w:rFonts w:ascii="Poppins" w:hAnsi="Poppins" w:cs="Poppins"/>
                <w:b/>
                <w:bCs/>
                <w:color w:val="002060"/>
                <w:sz w:val="28"/>
                <w:szCs w:val="28"/>
              </w:rPr>
              <w:t>Lead Applicant Name:</w:t>
            </w:r>
            <w:r w:rsidR="009B18B1">
              <w:rPr>
                <w:rFonts w:ascii="Poppins" w:hAnsi="Poppins" w:cs="Poppins"/>
                <w:b/>
                <w:bCs/>
                <w:color w:val="002060"/>
                <w:sz w:val="28"/>
                <w:szCs w:val="28"/>
              </w:rPr>
              <w:t xml:space="preserve"> Active Lancashire</w:t>
            </w:r>
          </w:p>
          <w:p w14:paraId="3DA6D321" w14:textId="77777777" w:rsidR="004C31E9" w:rsidRPr="00B71CC3" w:rsidRDefault="004C31E9" w:rsidP="00925033">
            <w:pPr>
              <w:rPr>
                <w:rFonts w:ascii="Poppins" w:hAnsi="Poppins" w:cs="Poppins"/>
                <w:b/>
                <w:bCs/>
                <w:color w:val="002060"/>
                <w:sz w:val="28"/>
                <w:szCs w:val="28"/>
              </w:rPr>
            </w:pPr>
            <w:r>
              <w:rPr>
                <w:rFonts w:ascii="Poppins" w:hAnsi="Poppins" w:cs="Poppins"/>
                <w:b/>
                <w:bCs/>
                <w:color w:val="002060"/>
                <w:sz w:val="28"/>
                <w:szCs w:val="28"/>
              </w:rPr>
              <w:t xml:space="preserve">URN: </w:t>
            </w:r>
          </w:p>
          <w:p w14:paraId="43FE7779" w14:textId="77777777" w:rsidR="004C31E9" w:rsidRPr="005239B6" w:rsidRDefault="004C31E9" w:rsidP="00925033">
            <w:pPr>
              <w:jc w:val="center"/>
              <w:rPr>
                <w:b/>
                <w:bCs/>
              </w:rPr>
            </w:pPr>
          </w:p>
        </w:tc>
      </w:tr>
      <w:tr w:rsidR="004C31E9" w14:paraId="5965A920" w14:textId="77777777" w:rsidTr="00925033">
        <w:tc>
          <w:tcPr>
            <w:tcW w:w="3114" w:type="dxa"/>
            <w:tcBorders>
              <w:top w:val="single" w:sz="4" w:space="0" w:color="auto"/>
            </w:tcBorders>
            <w:shd w:val="clear" w:color="auto" w:fill="002060"/>
          </w:tcPr>
          <w:p w14:paraId="189CDE8D" w14:textId="77777777" w:rsidR="004C31E9" w:rsidRPr="00577E56" w:rsidRDefault="004C31E9" w:rsidP="00925033">
            <w:pPr>
              <w:spacing w:after="160"/>
              <w:jc w:val="center"/>
              <w:rPr>
                <w:b/>
                <w:bCs/>
              </w:rPr>
            </w:pPr>
            <w:r w:rsidRPr="00577E56">
              <w:rPr>
                <w:b/>
                <w:bCs/>
              </w:rPr>
              <w:t>Work Area</w:t>
            </w:r>
          </w:p>
          <w:p w14:paraId="55128650" w14:textId="77777777" w:rsidR="004C31E9" w:rsidRDefault="004C31E9" w:rsidP="00925033">
            <w:pPr>
              <w:jc w:val="center"/>
            </w:pPr>
          </w:p>
        </w:tc>
        <w:tc>
          <w:tcPr>
            <w:tcW w:w="3260" w:type="dxa"/>
            <w:tcBorders>
              <w:top w:val="single" w:sz="4" w:space="0" w:color="auto"/>
            </w:tcBorders>
            <w:shd w:val="clear" w:color="auto" w:fill="002060"/>
          </w:tcPr>
          <w:p w14:paraId="42B782A7" w14:textId="77777777" w:rsidR="004C31E9" w:rsidRDefault="004C31E9" w:rsidP="00925033">
            <w:pPr>
              <w:spacing w:after="160"/>
              <w:jc w:val="center"/>
            </w:pPr>
            <w:r w:rsidRPr="00577E56">
              <w:rPr>
                <w:b/>
                <w:bCs/>
              </w:rPr>
              <w:t>Why is this work needed?</w:t>
            </w:r>
          </w:p>
          <w:p w14:paraId="151C2779" w14:textId="77777777" w:rsidR="004C31E9" w:rsidRDefault="004C31E9" w:rsidP="00925033">
            <w:pPr>
              <w:spacing w:after="160"/>
              <w:jc w:val="center"/>
            </w:pPr>
            <w:r>
              <w:t>(be explicit about alignment</w:t>
            </w:r>
            <w:r w:rsidRPr="00CD1147">
              <w:t xml:space="preserve"> to</w:t>
            </w:r>
            <w:r>
              <w:t xml:space="preserve"> SE</w:t>
            </w:r>
            <w:r w:rsidRPr="00CD1147">
              <w:t xml:space="preserve"> Investment Principles</w:t>
            </w:r>
            <w:r>
              <w:t xml:space="preserve"> as well as local needs/priorities identified through your learning to date)</w:t>
            </w:r>
          </w:p>
        </w:tc>
        <w:tc>
          <w:tcPr>
            <w:tcW w:w="3260" w:type="dxa"/>
            <w:tcBorders>
              <w:top w:val="single" w:sz="4" w:space="0" w:color="auto"/>
            </w:tcBorders>
            <w:shd w:val="clear" w:color="auto" w:fill="002060"/>
          </w:tcPr>
          <w:p w14:paraId="74230886" w14:textId="77777777" w:rsidR="004C31E9" w:rsidRDefault="004C31E9" w:rsidP="00925033">
            <w:pPr>
              <w:spacing w:after="160"/>
              <w:jc w:val="center"/>
              <w:rPr>
                <w:b/>
                <w:bCs/>
              </w:rPr>
            </w:pPr>
            <w:r w:rsidRPr="00910FF2">
              <w:rPr>
                <w:b/>
                <w:bCs/>
              </w:rPr>
              <w:t>Key milestones/</w:t>
            </w:r>
          </w:p>
          <w:p w14:paraId="7F0AE606" w14:textId="77777777" w:rsidR="004C31E9" w:rsidRPr="00910FF2" w:rsidRDefault="004C31E9" w:rsidP="00925033">
            <w:pPr>
              <w:spacing w:after="160"/>
              <w:jc w:val="center"/>
              <w:rPr>
                <w:b/>
                <w:bCs/>
              </w:rPr>
            </w:pPr>
            <w:r w:rsidRPr="00910FF2">
              <w:rPr>
                <w:b/>
                <w:bCs/>
              </w:rPr>
              <w:t>progress to date</w:t>
            </w:r>
          </w:p>
          <w:p w14:paraId="6027835E" w14:textId="77777777" w:rsidR="004C31E9" w:rsidRPr="00CD1147" w:rsidRDefault="004C31E9" w:rsidP="00925033">
            <w:pPr>
              <w:spacing w:after="160"/>
              <w:jc w:val="center"/>
            </w:pPr>
            <w:r w:rsidRPr="00CD1147">
              <w:t>(</w:t>
            </w:r>
            <w:r>
              <w:t>i.e. where linked to an existing work area</w:t>
            </w:r>
            <w:r w:rsidRPr="00CD1147">
              <w:t>)</w:t>
            </w:r>
          </w:p>
          <w:p w14:paraId="66E78B7B" w14:textId="77777777" w:rsidR="004C31E9" w:rsidRDefault="004C31E9" w:rsidP="00925033">
            <w:pPr>
              <w:jc w:val="center"/>
            </w:pPr>
          </w:p>
        </w:tc>
        <w:tc>
          <w:tcPr>
            <w:tcW w:w="4111" w:type="dxa"/>
            <w:tcBorders>
              <w:top w:val="single" w:sz="4" w:space="0" w:color="auto"/>
            </w:tcBorders>
            <w:shd w:val="clear" w:color="auto" w:fill="002060"/>
          </w:tcPr>
          <w:p w14:paraId="5BDEE1D2" w14:textId="77777777" w:rsidR="004C31E9" w:rsidRPr="003835FF" w:rsidRDefault="004C31E9" w:rsidP="00925033">
            <w:pPr>
              <w:spacing w:after="160"/>
              <w:jc w:val="center"/>
              <w:rPr>
                <w:b/>
                <w:bCs/>
              </w:rPr>
            </w:pPr>
            <w:r w:rsidRPr="003835FF">
              <w:rPr>
                <w:b/>
                <w:bCs/>
              </w:rPr>
              <w:t>What you will do</w:t>
            </w:r>
          </w:p>
          <w:p w14:paraId="108A23F6" w14:textId="77777777" w:rsidR="004C31E9" w:rsidRDefault="004C31E9" w:rsidP="00925033">
            <w:pPr>
              <w:spacing w:after="160"/>
              <w:jc w:val="center"/>
              <w:rPr>
                <w:rFonts w:ascii="Poppins" w:hAnsi="Poppins" w:cs="Poppins"/>
                <w:sz w:val="18"/>
                <w:szCs w:val="18"/>
              </w:rPr>
            </w:pPr>
            <w:r>
              <w:rPr>
                <w:rFonts w:ascii="Poppins" w:hAnsi="Poppins" w:cs="Poppins"/>
                <w:sz w:val="18"/>
                <w:szCs w:val="18"/>
              </w:rPr>
              <w:t xml:space="preserve">Describe the outputs and </w:t>
            </w:r>
            <w:r w:rsidRPr="00BE5A89">
              <w:rPr>
                <w:rFonts w:ascii="Poppins" w:hAnsi="Poppins" w:cs="Poppins"/>
                <w:sz w:val="18"/>
                <w:szCs w:val="18"/>
              </w:rPr>
              <w:t xml:space="preserve">how will this work area </w:t>
            </w:r>
            <w:r>
              <w:rPr>
                <w:rFonts w:ascii="Poppins" w:hAnsi="Poppins" w:cs="Poppins"/>
                <w:sz w:val="18"/>
                <w:szCs w:val="18"/>
              </w:rPr>
              <w:t xml:space="preserve">will </w:t>
            </w:r>
            <w:r w:rsidRPr="00BE5A89">
              <w:rPr>
                <w:rFonts w:ascii="Poppins" w:hAnsi="Poppins" w:cs="Poppins"/>
                <w:sz w:val="18"/>
                <w:szCs w:val="18"/>
              </w:rPr>
              <w:t>be delivered and who will be involved?</w:t>
            </w:r>
          </w:p>
          <w:p w14:paraId="1E9252B6" w14:textId="77777777" w:rsidR="004C31E9" w:rsidRDefault="004C31E9" w:rsidP="00925033">
            <w:pPr>
              <w:spacing w:after="160"/>
              <w:jc w:val="center"/>
            </w:pPr>
            <w:r>
              <w:rPr>
                <w:rFonts w:ascii="Poppins" w:hAnsi="Poppins" w:cs="Poppins"/>
                <w:sz w:val="18"/>
                <w:szCs w:val="18"/>
              </w:rPr>
              <w:t>(W</w:t>
            </w:r>
            <w:r>
              <w:t>here relevant, explain h</w:t>
            </w:r>
            <w:r w:rsidRPr="00CD1147">
              <w:t xml:space="preserve">ow </w:t>
            </w:r>
            <w:r>
              <w:t>this will build on your progress to date).</w:t>
            </w:r>
          </w:p>
        </w:tc>
        <w:tc>
          <w:tcPr>
            <w:tcW w:w="2835" w:type="dxa"/>
            <w:tcBorders>
              <w:top w:val="single" w:sz="4" w:space="0" w:color="auto"/>
            </w:tcBorders>
            <w:shd w:val="clear" w:color="auto" w:fill="002060"/>
          </w:tcPr>
          <w:p w14:paraId="6E7BC863" w14:textId="77777777" w:rsidR="004C31E9" w:rsidRDefault="004C31E9" w:rsidP="00925033">
            <w:pPr>
              <w:jc w:val="center"/>
              <w:rPr>
                <w:rFonts w:ascii="Poppins" w:hAnsi="Poppins" w:cs="Poppins"/>
                <w:b/>
                <w:bCs/>
                <w:sz w:val="20"/>
                <w:szCs w:val="20"/>
              </w:rPr>
            </w:pPr>
            <w:r w:rsidRPr="004B5676">
              <w:rPr>
                <w:rFonts w:ascii="Poppins" w:hAnsi="Poppins" w:cs="Poppins"/>
                <w:b/>
                <w:bCs/>
                <w:sz w:val="20"/>
                <w:szCs w:val="20"/>
              </w:rPr>
              <w:t>What resources do you need to delivery this work area</w:t>
            </w:r>
            <w:r>
              <w:rPr>
                <w:rFonts w:ascii="Poppins" w:hAnsi="Poppins" w:cs="Poppins"/>
                <w:b/>
                <w:bCs/>
                <w:sz w:val="20"/>
                <w:szCs w:val="20"/>
              </w:rPr>
              <w:t>?</w:t>
            </w:r>
          </w:p>
          <w:p w14:paraId="1DC3679E" w14:textId="77777777" w:rsidR="004C31E9" w:rsidRPr="00F07861" w:rsidRDefault="004C31E9" w:rsidP="00925033">
            <w:pPr>
              <w:jc w:val="center"/>
              <w:rPr>
                <w:rFonts w:ascii="Poppins" w:hAnsi="Poppins" w:cs="Poppins"/>
                <w:b/>
                <w:bCs/>
                <w:sz w:val="20"/>
                <w:szCs w:val="20"/>
              </w:rPr>
            </w:pPr>
          </w:p>
          <w:p w14:paraId="6C6AD05E" w14:textId="77777777" w:rsidR="004C31E9" w:rsidRPr="00CD1147" w:rsidRDefault="004C31E9" w:rsidP="00925033">
            <w:pPr>
              <w:spacing w:after="160"/>
              <w:jc w:val="center"/>
            </w:pPr>
            <w:r w:rsidRPr="00CD1147">
              <w:t>(</w:t>
            </w:r>
            <w:r>
              <w:t xml:space="preserve">i.e. </w:t>
            </w:r>
            <w:r w:rsidRPr="00CD1147">
              <w:t>linked to headings</w:t>
            </w:r>
            <w:r>
              <w:t xml:space="preserve"> within budget template</w:t>
            </w:r>
            <w:r w:rsidRPr="00CD1147">
              <w:t>)</w:t>
            </w:r>
          </w:p>
          <w:p w14:paraId="58C89A49" w14:textId="77777777" w:rsidR="004C31E9" w:rsidRDefault="004C31E9" w:rsidP="00925033">
            <w:pPr>
              <w:jc w:val="center"/>
            </w:pPr>
          </w:p>
        </w:tc>
        <w:tc>
          <w:tcPr>
            <w:tcW w:w="1985" w:type="dxa"/>
            <w:tcBorders>
              <w:top w:val="single" w:sz="4" w:space="0" w:color="auto"/>
            </w:tcBorders>
            <w:shd w:val="clear" w:color="auto" w:fill="002060"/>
          </w:tcPr>
          <w:p w14:paraId="22D3D157" w14:textId="77777777" w:rsidR="004C31E9" w:rsidRPr="005239B6" w:rsidRDefault="004C31E9" w:rsidP="00925033">
            <w:pPr>
              <w:spacing w:after="160"/>
              <w:jc w:val="center"/>
              <w:rPr>
                <w:b/>
                <w:bCs/>
              </w:rPr>
            </w:pPr>
            <w:r>
              <w:rPr>
                <w:b/>
                <w:bCs/>
              </w:rPr>
              <w:t xml:space="preserve">When will the work take place? </w:t>
            </w:r>
          </w:p>
          <w:p w14:paraId="3312C2E2" w14:textId="77777777" w:rsidR="004C31E9" w:rsidRDefault="004C31E9" w:rsidP="00925033">
            <w:pPr>
              <w:jc w:val="center"/>
            </w:pPr>
            <w:r>
              <w:t>(start and end dates)</w:t>
            </w:r>
          </w:p>
        </w:tc>
        <w:tc>
          <w:tcPr>
            <w:tcW w:w="3266" w:type="dxa"/>
            <w:tcBorders>
              <w:top w:val="single" w:sz="4" w:space="0" w:color="auto"/>
            </w:tcBorders>
            <w:shd w:val="clear" w:color="auto" w:fill="002060"/>
          </w:tcPr>
          <w:p w14:paraId="71CB2E7E" w14:textId="77777777" w:rsidR="004C31E9" w:rsidRPr="005239B6" w:rsidRDefault="004C31E9" w:rsidP="00925033">
            <w:pPr>
              <w:spacing w:after="160"/>
              <w:jc w:val="center"/>
              <w:rPr>
                <w:b/>
                <w:bCs/>
              </w:rPr>
            </w:pPr>
            <w:r w:rsidRPr="005239B6">
              <w:rPr>
                <w:b/>
                <w:bCs/>
              </w:rPr>
              <w:t>Outcomes</w:t>
            </w:r>
          </w:p>
          <w:p w14:paraId="1AC3822D" w14:textId="77777777" w:rsidR="004C31E9" w:rsidRPr="00CD1147" w:rsidRDefault="004C31E9" w:rsidP="00925033">
            <w:pPr>
              <w:jc w:val="center"/>
            </w:pPr>
            <w:r w:rsidRPr="00BE5A89">
              <w:rPr>
                <w:rFonts w:ascii="Poppins" w:hAnsi="Poppins" w:cs="Poppins"/>
                <w:sz w:val="18"/>
                <w:szCs w:val="18"/>
              </w:rPr>
              <w:t>(</w:t>
            </w:r>
            <w:proofErr w:type="gramStart"/>
            <w:r w:rsidRPr="00BE5A89">
              <w:rPr>
                <w:rFonts w:ascii="Poppins" w:hAnsi="Poppins" w:cs="Poppins"/>
                <w:sz w:val="18"/>
                <w:szCs w:val="18"/>
              </w:rPr>
              <w:t>what</w:t>
            </w:r>
            <w:proofErr w:type="gramEnd"/>
            <w:r w:rsidRPr="00BE5A89">
              <w:rPr>
                <w:rFonts w:ascii="Poppins" w:hAnsi="Poppins" w:cs="Poppins"/>
                <w:sz w:val="18"/>
                <w:szCs w:val="18"/>
              </w:rPr>
              <w:t xml:space="preserve"> </w:t>
            </w:r>
            <w:r>
              <w:rPr>
                <w:rFonts w:ascii="Poppins" w:hAnsi="Poppins" w:cs="Poppins"/>
                <w:sz w:val="18"/>
                <w:szCs w:val="18"/>
              </w:rPr>
              <w:t>impact will you be able to show</w:t>
            </w:r>
            <w:r w:rsidRPr="00BE5A89">
              <w:rPr>
                <w:rFonts w:ascii="Poppins" w:hAnsi="Poppins" w:cs="Poppins"/>
                <w:sz w:val="18"/>
                <w:szCs w:val="18"/>
              </w:rPr>
              <w:t>?</w:t>
            </w:r>
            <w:r>
              <w:rPr>
                <w:rFonts w:ascii="Poppins" w:hAnsi="Poppins" w:cs="Poppins"/>
                <w:sz w:val="18"/>
                <w:szCs w:val="18"/>
              </w:rPr>
              <w:t xml:space="preserve"> Where possible provide measurable outcomes</w:t>
            </w:r>
            <w:r w:rsidRPr="00BE5A89">
              <w:rPr>
                <w:rFonts w:ascii="Poppins" w:hAnsi="Poppins" w:cs="Poppins"/>
                <w:sz w:val="18"/>
                <w:szCs w:val="18"/>
              </w:rPr>
              <w:t>)</w:t>
            </w:r>
          </w:p>
        </w:tc>
      </w:tr>
      <w:tr w:rsidR="004C31E9" w14:paraId="1E5E89CC" w14:textId="77777777" w:rsidTr="00925033">
        <w:tc>
          <w:tcPr>
            <w:tcW w:w="3114" w:type="dxa"/>
          </w:tcPr>
          <w:p w14:paraId="6609587A" w14:textId="02790460" w:rsidR="004C31E9" w:rsidRDefault="004C31E9" w:rsidP="00925033">
            <w:r>
              <w:t xml:space="preserve">Create and enable a Learning Zone (platform) for NW Places to access </w:t>
            </w:r>
          </w:p>
          <w:p w14:paraId="0F94276D" w14:textId="77777777" w:rsidR="004C31E9" w:rsidRDefault="004C31E9" w:rsidP="00925033"/>
          <w:p w14:paraId="41B931AD" w14:textId="068F7DEB" w:rsidR="004C31E9" w:rsidRPr="00A34F69" w:rsidRDefault="00014437" w:rsidP="00925033">
            <w:pPr>
              <w:rPr>
                <w:b/>
                <w:bCs/>
              </w:rPr>
            </w:pPr>
            <w:r w:rsidRPr="00A34F69">
              <w:rPr>
                <w:b/>
                <w:bCs/>
              </w:rPr>
              <w:t>Accountable Lead:</w:t>
            </w:r>
            <w:r w:rsidR="0042525F">
              <w:rPr>
                <w:b/>
                <w:bCs/>
              </w:rPr>
              <w:t xml:space="preserve"> Beth Kay</w:t>
            </w:r>
          </w:p>
        </w:tc>
        <w:tc>
          <w:tcPr>
            <w:tcW w:w="3260" w:type="dxa"/>
          </w:tcPr>
          <w:p w14:paraId="78B392B6" w14:textId="6079A3FF" w:rsidR="004C31E9" w:rsidRDefault="004C31E9" w:rsidP="00925033">
            <w:r>
              <w:t>It will be a resource which enables places to share their learning and practice and enable places to readily access others learning and practice. This tool will support the NW Cluster’s offer to the NW NHS Leadership Academy and Research Network</w:t>
            </w:r>
          </w:p>
        </w:tc>
        <w:tc>
          <w:tcPr>
            <w:tcW w:w="3260" w:type="dxa"/>
          </w:tcPr>
          <w:p w14:paraId="254F2C8D" w14:textId="51215184" w:rsidR="004C31E9" w:rsidRDefault="004C31E9" w:rsidP="00925033">
            <w:r>
              <w:t xml:space="preserve">The platform is available to all places to use by </w:t>
            </w:r>
            <w:r w:rsidR="0042525F">
              <w:t xml:space="preserve">March </w:t>
            </w:r>
            <w:r>
              <w:t>202</w:t>
            </w:r>
            <w:r w:rsidR="0042525F">
              <w:t>7 (subject to funding being secured)</w:t>
            </w:r>
            <w:r w:rsidR="00FD1851">
              <w:t>.</w:t>
            </w:r>
          </w:p>
          <w:p w14:paraId="111317BC" w14:textId="77777777" w:rsidR="00FD1851" w:rsidRDefault="00FD1851" w:rsidP="00925033"/>
          <w:p w14:paraId="1C103A4B" w14:textId="3B58401F" w:rsidR="00FD1851" w:rsidRDefault="00FD1851" w:rsidP="00925033">
            <w:r>
              <w:t>The value of such a resource is seen as valuable to all partners in the NW.</w:t>
            </w:r>
          </w:p>
        </w:tc>
        <w:tc>
          <w:tcPr>
            <w:tcW w:w="4111" w:type="dxa"/>
          </w:tcPr>
          <w:p w14:paraId="7E6570D5" w14:textId="77777777" w:rsidR="004C31E9" w:rsidRDefault="004C31E9" w:rsidP="00925033">
            <w:r>
              <w:t>Establish a platform that can be accessed by all NW Partners – to share and access their learning and practice.</w:t>
            </w:r>
          </w:p>
          <w:p w14:paraId="555B2415" w14:textId="77777777" w:rsidR="004C31E9" w:rsidRDefault="004C31E9" w:rsidP="00925033"/>
          <w:p w14:paraId="3599118F" w14:textId="43387C2A" w:rsidR="004C31E9" w:rsidRDefault="004C31E9" w:rsidP="00925033">
            <w:r>
              <w:t xml:space="preserve">The platform to be hosted by Active Lancashire, building on their current resource which is currently internal to the organisation only. </w:t>
            </w:r>
          </w:p>
        </w:tc>
        <w:tc>
          <w:tcPr>
            <w:tcW w:w="2835" w:type="dxa"/>
          </w:tcPr>
          <w:p w14:paraId="155EAFDB" w14:textId="77777777" w:rsidR="004C31E9" w:rsidRDefault="004C31E9" w:rsidP="00925033">
            <w:r>
              <w:t>The development of the platform, so that it can be a self-serve resource for signed up partners.</w:t>
            </w:r>
          </w:p>
          <w:p w14:paraId="7CC2F8B9" w14:textId="77777777" w:rsidR="004C31E9" w:rsidRDefault="004C31E9" w:rsidP="00925033"/>
          <w:p w14:paraId="4C436B46" w14:textId="694748E9" w:rsidR="004C31E9" w:rsidRDefault="004C31E9" w:rsidP="00925033">
            <w:r>
              <w:t>Procure capacity to complete this enabling work - £</w:t>
            </w:r>
            <w:r w:rsidR="002B607F">
              <w:t>8</w:t>
            </w:r>
            <w:r>
              <w:t>k</w:t>
            </w:r>
            <w:r w:rsidR="00B910CC">
              <w:t>.</w:t>
            </w:r>
            <w:r>
              <w:t xml:space="preserve"> </w:t>
            </w:r>
          </w:p>
        </w:tc>
        <w:tc>
          <w:tcPr>
            <w:tcW w:w="1985" w:type="dxa"/>
          </w:tcPr>
          <w:p w14:paraId="51772B7A" w14:textId="06245CC0" w:rsidR="004C31E9" w:rsidRDefault="0042525F" w:rsidP="00925033">
            <w:r>
              <w:t>Sept</w:t>
            </w:r>
            <w:r w:rsidR="004C31E9">
              <w:t xml:space="preserve"> 2026</w:t>
            </w:r>
            <w:r>
              <w:t xml:space="preserve"> to </w:t>
            </w:r>
            <w:r w:rsidR="002B607F">
              <w:t>March</w:t>
            </w:r>
            <w:r>
              <w:t xml:space="preserve"> 2027 (Subject top funding)</w:t>
            </w:r>
          </w:p>
        </w:tc>
        <w:tc>
          <w:tcPr>
            <w:tcW w:w="3266" w:type="dxa"/>
          </w:tcPr>
          <w:p w14:paraId="0FF71F0D" w14:textId="77777777" w:rsidR="004C31E9" w:rsidRDefault="00BB34E1" w:rsidP="00925033">
            <w:r>
              <w:t>NW partners are sharing learning and practice more effectively.</w:t>
            </w:r>
          </w:p>
          <w:p w14:paraId="3A8A3D74" w14:textId="77777777" w:rsidR="00BB34E1" w:rsidRDefault="00BB34E1" w:rsidP="00925033"/>
          <w:p w14:paraId="4655463A" w14:textId="77777777" w:rsidR="00BB34E1" w:rsidRDefault="00BB34E1" w:rsidP="00925033">
            <w:r>
              <w:t>The platform is valued by new/other NW structures as a learning resource.</w:t>
            </w:r>
          </w:p>
          <w:p w14:paraId="0D90C3C4" w14:textId="77777777" w:rsidR="00BB34E1" w:rsidRDefault="00BB34E1" w:rsidP="00925033"/>
          <w:p w14:paraId="63CBD95C" w14:textId="347CD474" w:rsidR="00BB34E1" w:rsidRDefault="00BB34E1" w:rsidP="00925033">
            <w:r>
              <w:t xml:space="preserve">PBSW practice in places improves. </w:t>
            </w:r>
          </w:p>
        </w:tc>
      </w:tr>
      <w:tr w:rsidR="004C31E9" w14:paraId="3AF6BB5A" w14:textId="77777777" w:rsidTr="00925033">
        <w:tc>
          <w:tcPr>
            <w:tcW w:w="3114" w:type="dxa"/>
          </w:tcPr>
          <w:p w14:paraId="2BD915C0" w14:textId="35BF61FC" w:rsidR="004C31E9" w:rsidRDefault="00BB34E1" w:rsidP="00925033">
            <w:r>
              <w:t xml:space="preserve">Improve the framing and so positioning of PAS across the NW, so that its contribution is valued by system areas (Devolution, ICB restructuring)   </w:t>
            </w:r>
          </w:p>
          <w:p w14:paraId="42243AE5" w14:textId="77777777" w:rsidR="004C31E9" w:rsidRDefault="004C31E9" w:rsidP="00925033"/>
          <w:p w14:paraId="02F43C5C" w14:textId="49038C45" w:rsidR="004C31E9" w:rsidRPr="00A34F69" w:rsidRDefault="00014437" w:rsidP="00925033">
            <w:pPr>
              <w:rPr>
                <w:b/>
                <w:bCs/>
              </w:rPr>
            </w:pPr>
            <w:r w:rsidRPr="00A34F69">
              <w:rPr>
                <w:b/>
                <w:bCs/>
              </w:rPr>
              <w:t>Accountable Lead:</w:t>
            </w:r>
            <w:r w:rsidR="0042525F">
              <w:rPr>
                <w:b/>
                <w:bCs/>
              </w:rPr>
              <w:t xml:space="preserve"> Richard </w:t>
            </w:r>
            <w:r w:rsidR="002B607F">
              <w:rPr>
                <w:b/>
                <w:bCs/>
              </w:rPr>
              <w:t>Davis Boreham</w:t>
            </w:r>
          </w:p>
          <w:p w14:paraId="6EBC4EBD" w14:textId="77777777" w:rsidR="004C31E9" w:rsidRDefault="004C31E9" w:rsidP="00925033"/>
        </w:tc>
        <w:tc>
          <w:tcPr>
            <w:tcW w:w="3260" w:type="dxa"/>
          </w:tcPr>
          <w:p w14:paraId="4925A724" w14:textId="17433DCF" w:rsidR="004C31E9" w:rsidRDefault="00BB34E1" w:rsidP="00925033">
            <w:r>
              <w:t>Owing to the significant changes taking place in the landscape, there is the opportunity to better position PAS with system partners, to help lever future resources.</w:t>
            </w:r>
          </w:p>
        </w:tc>
        <w:tc>
          <w:tcPr>
            <w:tcW w:w="3260" w:type="dxa"/>
          </w:tcPr>
          <w:p w14:paraId="71145D95" w14:textId="77777777" w:rsidR="004C31E9" w:rsidRDefault="00BB34E1" w:rsidP="00925033">
            <w:r>
              <w:t>The re-framing of PAS to be completed for the NW footprint and the sub-regional and local partners by Sept 2026.</w:t>
            </w:r>
          </w:p>
          <w:p w14:paraId="6A43B53E" w14:textId="77777777" w:rsidR="00BB34E1" w:rsidRDefault="00BB34E1" w:rsidP="00925033"/>
          <w:p w14:paraId="4489F202" w14:textId="6EC196B9" w:rsidR="00BB34E1" w:rsidRDefault="00BB34E1" w:rsidP="00925033">
            <w:r>
              <w:t>Places given the support to create a NW narrative and aligned narratives in places.</w:t>
            </w:r>
          </w:p>
        </w:tc>
        <w:tc>
          <w:tcPr>
            <w:tcW w:w="4111" w:type="dxa"/>
          </w:tcPr>
          <w:p w14:paraId="111A80D9" w14:textId="77777777" w:rsidR="004C31E9" w:rsidRDefault="00BB34E1" w:rsidP="00925033">
            <w:r>
              <w:t xml:space="preserve">Procure a framing/narrative expert to establish the key frames to help better position PAS </w:t>
            </w:r>
            <w:r w:rsidR="00B910CC">
              <w:t>in Devolution developments.</w:t>
            </w:r>
          </w:p>
          <w:p w14:paraId="2DC8B005" w14:textId="77777777" w:rsidR="00B910CC" w:rsidRDefault="00B910CC" w:rsidP="00925033"/>
          <w:p w14:paraId="7B162013" w14:textId="23F48EBA" w:rsidR="00B910CC" w:rsidRDefault="00B910CC" w:rsidP="00925033">
            <w:r>
              <w:t>Run a NW workshop programme and subsidiary support to places (based on the APs footprints). 6 workshops in total.</w:t>
            </w:r>
          </w:p>
        </w:tc>
        <w:tc>
          <w:tcPr>
            <w:tcW w:w="2835" w:type="dxa"/>
          </w:tcPr>
          <w:p w14:paraId="22D106DC" w14:textId="026CB1D0" w:rsidR="004C31E9" w:rsidRDefault="00B910CC" w:rsidP="00925033">
            <w:r>
              <w:t>The consultant has been identified, and the workshop programme will be designed post initial consultation with the NW Cluster membership.</w:t>
            </w:r>
          </w:p>
          <w:p w14:paraId="67ABC12B" w14:textId="77777777" w:rsidR="00B910CC" w:rsidRDefault="00B910CC" w:rsidP="00925033"/>
          <w:p w14:paraId="33B771CF" w14:textId="6FEF532D" w:rsidR="00B910CC" w:rsidRDefault="00B910CC" w:rsidP="00925033">
            <w:r>
              <w:t>The consultant will cost £5k.</w:t>
            </w:r>
          </w:p>
          <w:p w14:paraId="1AD96194" w14:textId="78FF2218" w:rsidR="00B910CC" w:rsidRDefault="00B910CC" w:rsidP="00925033"/>
        </w:tc>
        <w:tc>
          <w:tcPr>
            <w:tcW w:w="1985" w:type="dxa"/>
          </w:tcPr>
          <w:p w14:paraId="625AF128" w14:textId="54B44934" w:rsidR="004C31E9" w:rsidRDefault="002B607F" w:rsidP="00925033">
            <w:r>
              <w:t>April</w:t>
            </w:r>
            <w:r w:rsidR="00B910CC">
              <w:t xml:space="preserve"> 2026 – scoping.</w:t>
            </w:r>
          </w:p>
          <w:p w14:paraId="6D48B1CA" w14:textId="77777777" w:rsidR="00B910CC" w:rsidRDefault="00B910CC" w:rsidP="00925033"/>
          <w:p w14:paraId="3C76B413" w14:textId="59B29B0D" w:rsidR="00B910CC" w:rsidRDefault="00B910CC" w:rsidP="00925033">
            <w:r>
              <w:t xml:space="preserve">NW workshop – </w:t>
            </w:r>
            <w:r w:rsidR="002B607F">
              <w:t>July</w:t>
            </w:r>
            <w:r>
              <w:t>2026.</w:t>
            </w:r>
          </w:p>
          <w:p w14:paraId="29B9E738" w14:textId="77777777" w:rsidR="00B910CC" w:rsidRDefault="00B910CC" w:rsidP="00925033"/>
          <w:p w14:paraId="20813B2A" w14:textId="1D0BCB4D" w:rsidR="00B910CC" w:rsidRDefault="00B910CC" w:rsidP="00925033">
            <w:r>
              <w:t xml:space="preserve">Support to AP areas – </w:t>
            </w:r>
            <w:r w:rsidR="002B607F">
              <w:t>July</w:t>
            </w:r>
            <w:r>
              <w:t xml:space="preserve"> to Sept 2026</w:t>
            </w:r>
          </w:p>
        </w:tc>
        <w:tc>
          <w:tcPr>
            <w:tcW w:w="3266" w:type="dxa"/>
          </w:tcPr>
          <w:p w14:paraId="1E87A1E3" w14:textId="77777777" w:rsidR="004C31E9" w:rsidRDefault="00B910CC" w:rsidP="00925033">
            <w:r>
              <w:t>PAS is better positioned in devolved areas and combined authorities.</w:t>
            </w:r>
          </w:p>
          <w:p w14:paraId="28BE38E6" w14:textId="77777777" w:rsidR="00B910CC" w:rsidRDefault="00B910CC" w:rsidP="00925033"/>
          <w:p w14:paraId="6B8D22A3" w14:textId="77777777" w:rsidR="00B910CC" w:rsidRDefault="00B910CC" w:rsidP="00925033">
            <w:r>
              <w:t>The NW is consistent in how it promotes the value of PAS to the landscape.</w:t>
            </w:r>
          </w:p>
          <w:p w14:paraId="05B0BDEF" w14:textId="77777777" w:rsidR="00B910CC" w:rsidRDefault="00B910CC" w:rsidP="00925033"/>
          <w:p w14:paraId="18C79047" w14:textId="47EE1B9E" w:rsidR="00B910CC" w:rsidRDefault="00B910CC" w:rsidP="00925033">
            <w:r>
              <w:t>The NW and AP areas lever resources from non-traditional system areas.</w:t>
            </w:r>
          </w:p>
        </w:tc>
      </w:tr>
      <w:tr w:rsidR="004C31E9" w14:paraId="7DD183DF" w14:textId="77777777" w:rsidTr="00925033">
        <w:tc>
          <w:tcPr>
            <w:tcW w:w="3114" w:type="dxa"/>
          </w:tcPr>
          <w:p w14:paraId="267E3115" w14:textId="591FB7B8" w:rsidR="004C31E9" w:rsidRDefault="00B910CC" w:rsidP="00925033">
            <w:r>
              <w:t xml:space="preserve">Deliver </w:t>
            </w:r>
            <w:r w:rsidR="002B607F">
              <w:t xml:space="preserve">a minimum of </w:t>
            </w:r>
            <w:r>
              <w:t xml:space="preserve">three </w:t>
            </w:r>
            <w:r w:rsidR="00FD1851">
              <w:t xml:space="preserve">F2F and/or </w:t>
            </w:r>
            <w:r>
              <w:t>online learning series events to support NW places PBSW.</w:t>
            </w:r>
          </w:p>
          <w:p w14:paraId="522DADBF" w14:textId="77777777" w:rsidR="004C31E9" w:rsidRDefault="004C31E9" w:rsidP="00925033"/>
          <w:p w14:paraId="3D6F5E4A" w14:textId="2A43D2A7" w:rsidR="004C31E9" w:rsidRPr="00A34F69" w:rsidRDefault="00014437" w:rsidP="00925033">
            <w:pPr>
              <w:rPr>
                <w:b/>
                <w:bCs/>
              </w:rPr>
            </w:pPr>
            <w:r w:rsidRPr="00A34F69">
              <w:rPr>
                <w:b/>
                <w:bCs/>
              </w:rPr>
              <w:t>Accountable Lead:</w:t>
            </w:r>
            <w:r w:rsidR="002B607F">
              <w:rPr>
                <w:b/>
                <w:bCs/>
              </w:rPr>
              <w:t xml:space="preserve"> Beth Kay / Amanda Forrest</w:t>
            </w:r>
          </w:p>
          <w:p w14:paraId="748117EB" w14:textId="77777777" w:rsidR="004C31E9" w:rsidRDefault="004C31E9" w:rsidP="00925033"/>
        </w:tc>
        <w:tc>
          <w:tcPr>
            <w:tcW w:w="3260" w:type="dxa"/>
          </w:tcPr>
          <w:p w14:paraId="177F86D0" w14:textId="2B562627" w:rsidR="004C31E9" w:rsidRDefault="00FD1851" w:rsidP="00925033">
            <w:r>
              <w:t>The learning events will allow places to share learning and practice around common challenges that places are facing in the work. This will enable better progress of PBSW in these areas.</w:t>
            </w:r>
          </w:p>
        </w:tc>
        <w:tc>
          <w:tcPr>
            <w:tcW w:w="3260" w:type="dxa"/>
          </w:tcPr>
          <w:p w14:paraId="1402B8DC" w14:textId="77777777" w:rsidR="004C31E9" w:rsidRDefault="00FD1851" w:rsidP="00925033">
            <w:r>
              <w:t>There are emerging areas which are deemed a priority for all the places in the NW.</w:t>
            </w:r>
          </w:p>
          <w:p w14:paraId="4354831D" w14:textId="77777777" w:rsidR="00FD1851" w:rsidRDefault="00FD1851" w:rsidP="00925033"/>
          <w:p w14:paraId="12639788" w14:textId="20F80099" w:rsidR="00FD1851" w:rsidRDefault="00FD1851" w:rsidP="00925033">
            <w:r>
              <w:t xml:space="preserve">Enabling active environments, </w:t>
            </w:r>
            <w:r w:rsidR="002B607F">
              <w:t xml:space="preserve">Utilising NELP / System Leadership Maturity Matrix etc to drive Performance improvement, </w:t>
            </w:r>
            <w:r>
              <w:t xml:space="preserve">Pivoting Public Leisure to Well Being, and </w:t>
            </w:r>
            <w:r>
              <w:lastRenderedPageBreak/>
              <w:t>integrating PAS into Adult Social Care are three early areas for consideration.</w:t>
            </w:r>
          </w:p>
        </w:tc>
        <w:tc>
          <w:tcPr>
            <w:tcW w:w="4111" w:type="dxa"/>
          </w:tcPr>
          <w:p w14:paraId="0C4FD810" w14:textId="77777777" w:rsidR="004C31E9" w:rsidRDefault="00FD1851" w:rsidP="00925033">
            <w:r>
              <w:lastRenderedPageBreak/>
              <w:t>Three learning events organised and delivered for NW partners to access – sharing regional and national learning to help develop local practice.</w:t>
            </w:r>
          </w:p>
          <w:p w14:paraId="70AC69FC" w14:textId="77777777" w:rsidR="00FD1851" w:rsidRDefault="00FD1851" w:rsidP="00925033"/>
          <w:p w14:paraId="11B8F834" w14:textId="3CAAA6E3" w:rsidR="00FD1851" w:rsidRDefault="00FD1851" w:rsidP="00925033">
            <w:r>
              <w:t>Sector experts to be drawn in – where appropriate.</w:t>
            </w:r>
          </w:p>
        </w:tc>
        <w:tc>
          <w:tcPr>
            <w:tcW w:w="2835" w:type="dxa"/>
          </w:tcPr>
          <w:p w14:paraId="45A3E868" w14:textId="77777777" w:rsidR="009B18B1" w:rsidRDefault="00FD1851" w:rsidP="00925033">
            <w:r>
              <w:t xml:space="preserve">Where F2F – cost of room </w:t>
            </w:r>
            <w:proofErr w:type="gramStart"/>
            <w:r>
              <w:t>hire</w:t>
            </w:r>
            <w:proofErr w:type="gramEnd"/>
            <w:r>
              <w:t xml:space="preserve"> and ref</w:t>
            </w:r>
            <w:r w:rsidR="009B18B1">
              <w:t>reshments.</w:t>
            </w:r>
          </w:p>
          <w:p w14:paraId="7605D3C2" w14:textId="77777777" w:rsidR="009B18B1" w:rsidRDefault="009B18B1" w:rsidP="00925033"/>
          <w:p w14:paraId="5194EF6D" w14:textId="77777777" w:rsidR="009B18B1" w:rsidRDefault="009B18B1" w:rsidP="00925033">
            <w:r>
              <w:t>Paying for an expert’s input – as required.</w:t>
            </w:r>
          </w:p>
          <w:p w14:paraId="2030908A" w14:textId="77777777" w:rsidR="009B18B1" w:rsidRDefault="009B18B1" w:rsidP="00925033"/>
          <w:p w14:paraId="0016946C" w14:textId="659CB724" w:rsidR="004C31E9" w:rsidRDefault="009B18B1" w:rsidP="00925033">
            <w:r>
              <w:t xml:space="preserve">£2K budget required to enable delivery. </w:t>
            </w:r>
          </w:p>
        </w:tc>
        <w:tc>
          <w:tcPr>
            <w:tcW w:w="1985" w:type="dxa"/>
          </w:tcPr>
          <w:p w14:paraId="7D48A92E" w14:textId="5C27744B" w:rsidR="004C31E9" w:rsidRDefault="009B18B1" w:rsidP="00925033">
            <w:r>
              <w:t xml:space="preserve">Events to take place in </w:t>
            </w:r>
            <w:r w:rsidR="002B607F">
              <w:t>July</w:t>
            </w:r>
            <w:r>
              <w:t xml:space="preserve">, </w:t>
            </w:r>
            <w:r w:rsidR="002B607F">
              <w:t xml:space="preserve">September </w:t>
            </w:r>
            <w:r>
              <w:t xml:space="preserve">and </w:t>
            </w:r>
            <w:r w:rsidR="002B607F">
              <w:t>Nov</w:t>
            </w:r>
            <w:r>
              <w:t xml:space="preserve"> 2026.</w:t>
            </w:r>
          </w:p>
        </w:tc>
        <w:tc>
          <w:tcPr>
            <w:tcW w:w="3266" w:type="dxa"/>
          </w:tcPr>
          <w:p w14:paraId="5CA4CDB5" w14:textId="77777777" w:rsidR="004C31E9" w:rsidRDefault="009B18B1" w:rsidP="00925033">
            <w:r>
              <w:t>Places develop and establish improved PBSW practice.</w:t>
            </w:r>
          </w:p>
          <w:p w14:paraId="45AA4861" w14:textId="77777777" w:rsidR="009B18B1" w:rsidRDefault="009B18B1" w:rsidP="00925033"/>
          <w:p w14:paraId="627D73B0" w14:textId="77777777" w:rsidR="009B18B1" w:rsidRDefault="009B18B1" w:rsidP="00925033">
            <w:r>
              <w:t>PAS use is integrated into difficult to influence sectors/organisations.</w:t>
            </w:r>
          </w:p>
          <w:p w14:paraId="0E9C320C" w14:textId="77777777" w:rsidR="009B18B1" w:rsidRDefault="009B18B1" w:rsidP="00925033"/>
          <w:p w14:paraId="678F4185" w14:textId="67CB1E54" w:rsidR="009B18B1" w:rsidRDefault="009B18B1" w:rsidP="00925033">
            <w:r>
              <w:t>New sectors and organisations are using their resources to promote PAS.</w:t>
            </w:r>
          </w:p>
        </w:tc>
      </w:tr>
      <w:tr w:rsidR="004C31E9" w14:paraId="0131EC8E" w14:textId="77777777" w:rsidTr="00925033">
        <w:tc>
          <w:tcPr>
            <w:tcW w:w="3114" w:type="dxa"/>
          </w:tcPr>
          <w:p w14:paraId="69BD0C2D" w14:textId="5956F283" w:rsidR="004C31E9" w:rsidRDefault="00A34F69" w:rsidP="00925033">
            <w:r>
              <w:t>Production of an advocacy resource</w:t>
            </w:r>
            <w:r w:rsidR="00A55EED">
              <w:t xml:space="preserve"> to better position PAS across the NW landscape (a manifesto for PAS).</w:t>
            </w:r>
          </w:p>
          <w:p w14:paraId="14891874" w14:textId="77777777" w:rsidR="004C31E9" w:rsidRDefault="004C31E9" w:rsidP="00925033"/>
          <w:p w14:paraId="6A7BE883" w14:textId="77777777" w:rsidR="004C31E9" w:rsidRDefault="004C31E9" w:rsidP="00925033"/>
          <w:p w14:paraId="2E93E9A5" w14:textId="77777777" w:rsidR="004C31E9" w:rsidRDefault="004C31E9" w:rsidP="00925033"/>
        </w:tc>
        <w:tc>
          <w:tcPr>
            <w:tcW w:w="3260" w:type="dxa"/>
          </w:tcPr>
          <w:p w14:paraId="7B7722AC" w14:textId="1EC29DF8" w:rsidR="004C31E9" w:rsidRDefault="00A55EED" w:rsidP="00925033">
            <w:r>
              <w:t xml:space="preserve">Develop an easy to access and digest resource that can be used by NW places to better position PAS with non-traditional parts of the system. </w:t>
            </w:r>
          </w:p>
        </w:tc>
        <w:tc>
          <w:tcPr>
            <w:tcW w:w="3260" w:type="dxa"/>
          </w:tcPr>
          <w:p w14:paraId="6195F74D" w14:textId="77777777" w:rsidR="004C31E9" w:rsidRDefault="00A55EED" w:rsidP="00925033">
            <w:r>
              <w:t>Some initial thinking has been done by local places/Aps.</w:t>
            </w:r>
          </w:p>
          <w:p w14:paraId="30D3E33C" w14:textId="77777777" w:rsidR="00A55EED" w:rsidRDefault="00A55EED" w:rsidP="00925033"/>
          <w:p w14:paraId="1247F995" w14:textId="77777777" w:rsidR="00A55EED" w:rsidRDefault="00A55EED" w:rsidP="00925033">
            <w:r>
              <w:t>Having a NW resource would deliver economies of scale, as places are developing individual approaches.</w:t>
            </w:r>
          </w:p>
          <w:p w14:paraId="247A287B" w14:textId="6957A943" w:rsidR="002B607F" w:rsidRDefault="002B607F" w:rsidP="00925033"/>
        </w:tc>
        <w:tc>
          <w:tcPr>
            <w:tcW w:w="4111" w:type="dxa"/>
          </w:tcPr>
          <w:p w14:paraId="7D6FC43B" w14:textId="7A39EEDD" w:rsidR="004C31E9" w:rsidRDefault="00A55EED" w:rsidP="00925033">
            <w:r>
              <w:t>A resource (narrated slide deck and supporting document) that helps to show the value of PAS to improving people’s lives in places, whilst addressing inequalities.</w:t>
            </w:r>
          </w:p>
        </w:tc>
        <w:tc>
          <w:tcPr>
            <w:tcW w:w="2835" w:type="dxa"/>
          </w:tcPr>
          <w:p w14:paraId="7FEDBF5C" w14:textId="77777777" w:rsidR="00A55EED" w:rsidRDefault="00A55EED" w:rsidP="00925033">
            <w:r>
              <w:t>Procure a consultant to collate evidence from places that show the value of PAS to different agendas and design and deliver a resource that makes the case in an easy to access/digest way.</w:t>
            </w:r>
          </w:p>
          <w:p w14:paraId="6746DDBA" w14:textId="77777777" w:rsidR="00A55EED" w:rsidRDefault="00A55EED" w:rsidP="00925033"/>
          <w:p w14:paraId="6186EACE" w14:textId="77777777" w:rsidR="00A55EED" w:rsidRDefault="00A55EED" w:rsidP="00925033">
            <w:r>
              <w:t>Launch the resource to bring the value of PAS to key decision makers attention.</w:t>
            </w:r>
          </w:p>
          <w:p w14:paraId="3D7AF454" w14:textId="77777777" w:rsidR="00A55EED" w:rsidRDefault="00A55EED" w:rsidP="00925033"/>
          <w:p w14:paraId="43C80B90" w14:textId="5C29EC55" w:rsidR="004C31E9" w:rsidRDefault="00A55EED" w:rsidP="00925033">
            <w:r>
              <w:t>Budget of £</w:t>
            </w:r>
            <w:r w:rsidR="002B607F">
              <w:t>9</w:t>
            </w:r>
            <w:r>
              <w:t>k to deliver the outputs.</w:t>
            </w:r>
          </w:p>
        </w:tc>
        <w:tc>
          <w:tcPr>
            <w:tcW w:w="1985" w:type="dxa"/>
          </w:tcPr>
          <w:p w14:paraId="6C705E2A" w14:textId="2EEE36CC" w:rsidR="004C31E9" w:rsidRDefault="00A55EED" w:rsidP="00925033">
            <w:r>
              <w:t xml:space="preserve">Start </w:t>
            </w:r>
            <w:r w:rsidR="002B607F">
              <w:t>May</w:t>
            </w:r>
            <w:r>
              <w:t xml:space="preserve"> 2026 and </w:t>
            </w:r>
            <w:r w:rsidR="00854A2F">
              <w:t xml:space="preserve">delivered by </w:t>
            </w:r>
            <w:r w:rsidR="002B607F">
              <w:t>September</w:t>
            </w:r>
            <w:r w:rsidR="00854A2F">
              <w:t xml:space="preserve"> 2026.</w:t>
            </w:r>
          </w:p>
        </w:tc>
        <w:tc>
          <w:tcPr>
            <w:tcW w:w="3266" w:type="dxa"/>
          </w:tcPr>
          <w:p w14:paraId="2DD95CB5" w14:textId="30A1399F" w:rsidR="004C31E9" w:rsidRDefault="00854A2F" w:rsidP="00925033">
            <w:r>
              <w:t>Increased understanding of key system stakeholders of the value of PAS to delivering their priority agendas.</w:t>
            </w:r>
          </w:p>
          <w:p w14:paraId="21BEEE6F" w14:textId="77777777" w:rsidR="00854A2F" w:rsidRDefault="00854A2F" w:rsidP="00925033"/>
          <w:p w14:paraId="5B180F35" w14:textId="05B247B6" w:rsidR="00854A2F" w:rsidRDefault="00854A2F" w:rsidP="00925033">
            <w:r>
              <w:t>Key stakeholders/sectors see the value of PAS and use their resources to use/promote PAS with their audiences.</w:t>
            </w:r>
          </w:p>
          <w:p w14:paraId="06C65184" w14:textId="77777777" w:rsidR="004C31E9" w:rsidRDefault="004C31E9" w:rsidP="00925033"/>
        </w:tc>
      </w:tr>
      <w:tr w:rsidR="004C31E9" w14:paraId="0131499A" w14:textId="77777777" w:rsidTr="00925033">
        <w:tc>
          <w:tcPr>
            <w:tcW w:w="3114" w:type="dxa"/>
          </w:tcPr>
          <w:p w14:paraId="734CAE84" w14:textId="77777777" w:rsidR="004C31E9" w:rsidRDefault="004C31E9" w:rsidP="00925033"/>
          <w:p w14:paraId="5FD0013A" w14:textId="77777777" w:rsidR="004C31E9" w:rsidRDefault="004C31E9" w:rsidP="00925033"/>
          <w:p w14:paraId="49CBFC70" w14:textId="77777777" w:rsidR="004C31E9" w:rsidRDefault="004C31E9" w:rsidP="00925033"/>
          <w:p w14:paraId="31A043E2" w14:textId="77777777" w:rsidR="004C31E9" w:rsidRDefault="004C31E9" w:rsidP="00925033"/>
        </w:tc>
        <w:tc>
          <w:tcPr>
            <w:tcW w:w="3260" w:type="dxa"/>
          </w:tcPr>
          <w:p w14:paraId="6C58FDDB" w14:textId="77777777" w:rsidR="004C31E9" w:rsidRDefault="004C31E9" w:rsidP="00925033"/>
        </w:tc>
        <w:tc>
          <w:tcPr>
            <w:tcW w:w="3260" w:type="dxa"/>
          </w:tcPr>
          <w:p w14:paraId="2D0FA2B6" w14:textId="77777777" w:rsidR="004C31E9" w:rsidRDefault="004C31E9" w:rsidP="00925033"/>
        </w:tc>
        <w:tc>
          <w:tcPr>
            <w:tcW w:w="4111" w:type="dxa"/>
          </w:tcPr>
          <w:p w14:paraId="4BE1E62D" w14:textId="77777777" w:rsidR="004C31E9" w:rsidRDefault="004C31E9" w:rsidP="00925033"/>
        </w:tc>
        <w:tc>
          <w:tcPr>
            <w:tcW w:w="2835" w:type="dxa"/>
          </w:tcPr>
          <w:p w14:paraId="34481FD2" w14:textId="77777777" w:rsidR="004C31E9" w:rsidRDefault="004C31E9" w:rsidP="00925033"/>
        </w:tc>
        <w:tc>
          <w:tcPr>
            <w:tcW w:w="1985" w:type="dxa"/>
          </w:tcPr>
          <w:p w14:paraId="4DF97C1A" w14:textId="77777777" w:rsidR="004C31E9" w:rsidRDefault="004C31E9" w:rsidP="00925033"/>
        </w:tc>
        <w:tc>
          <w:tcPr>
            <w:tcW w:w="3266" w:type="dxa"/>
          </w:tcPr>
          <w:p w14:paraId="771ACFDA" w14:textId="77777777" w:rsidR="004C31E9" w:rsidRDefault="004C31E9" w:rsidP="00925033"/>
          <w:p w14:paraId="5AA4D94D" w14:textId="77777777" w:rsidR="004C31E9" w:rsidRDefault="004C31E9" w:rsidP="00925033"/>
        </w:tc>
      </w:tr>
      <w:tr w:rsidR="004C31E9" w14:paraId="4A93A55A" w14:textId="77777777" w:rsidTr="00925033">
        <w:tc>
          <w:tcPr>
            <w:tcW w:w="3114" w:type="dxa"/>
          </w:tcPr>
          <w:p w14:paraId="5AE13844" w14:textId="77777777" w:rsidR="004C31E9" w:rsidRDefault="004C31E9" w:rsidP="00925033"/>
          <w:p w14:paraId="0D385FB3" w14:textId="77777777" w:rsidR="004C31E9" w:rsidRDefault="004C31E9" w:rsidP="00925033"/>
          <w:p w14:paraId="46BC108C" w14:textId="77777777" w:rsidR="004C31E9" w:rsidRDefault="004C31E9" w:rsidP="00925033"/>
          <w:p w14:paraId="37D39F61" w14:textId="77777777" w:rsidR="004C31E9" w:rsidRDefault="004C31E9" w:rsidP="00925033"/>
        </w:tc>
        <w:tc>
          <w:tcPr>
            <w:tcW w:w="3260" w:type="dxa"/>
          </w:tcPr>
          <w:p w14:paraId="4C9621E2" w14:textId="77777777" w:rsidR="004C31E9" w:rsidRDefault="004C31E9" w:rsidP="00925033"/>
        </w:tc>
        <w:tc>
          <w:tcPr>
            <w:tcW w:w="3260" w:type="dxa"/>
          </w:tcPr>
          <w:p w14:paraId="369EA62E" w14:textId="77777777" w:rsidR="004C31E9" w:rsidRDefault="004C31E9" w:rsidP="00925033"/>
        </w:tc>
        <w:tc>
          <w:tcPr>
            <w:tcW w:w="4111" w:type="dxa"/>
          </w:tcPr>
          <w:p w14:paraId="7F5A0CB2" w14:textId="77777777" w:rsidR="004C31E9" w:rsidRDefault="004C31E9" w:rsidP="00925033"/>
        </w:tc>
        <w:tc>
          <w:tcPr>
            <w:tcW w:w="2835" w:type="dxa"/>
          </w:tcPr>
          <w:p w14:paraId="3CA60EA3" w14:textId="77777777" w:rsidR="004C31E9" w:rsidRDefault="004C31E9" w:rsidP="00925033"/>
        </w:tc>
        <w:tc>
          <w:tcPr>
            <w:tcW w:w="1985" w:type="dxa"/>
          </w:tcPr>
          <w:p w14:paraId="498C545D" w14:textId="77777777" w:rsidR="004C31E9" w:rsidRDefault="004C31E9" w:rsidP="00925033"/>
        </w:tc>
        <w:tc>
          <w:tcPr>
            <w:tcW w:w="3266" w:type="dxa"/>
          </w:tcPr>
          <w:p w14:paraId="278D42C3" w14:textId="77777777" w:rsidR="004C31E9" w:rsidRDefault="004C31E9" w:rsidP="00925033"/>
          <w:p w14:paraId="7146F78C" w14:textId="77777777" w:rsidR="004C31E9" w:rsidRDefault="004C31E9" w:rsidP="00925033"/>
        </w:tc>
      </w:tr>
    </w:tbl>
    <w:p w14:paraId="1D3B5254" w14:textId="77777777" w:rsidR="004C31E9" w:rsidRDefault="004C31E9" w:rsidP="004C31E9"/>
    <w:p w14:paraId="397A89F9" w14:textId="77777777" w:rsidR="00FD2F5C" w:rsidRDefault="00FD2F5C"/>
    <w:sectPr w:rsidR="00FD2F5C" w:rsidSect="004C31E9">
      <w:headerReference w:type="default" r:id="rId6"/>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0F610" w14:textId="77777777" w:rsidR="003C1E17" w:rsidRDefault="003C1E17">
      <w:pPr>
        <w:spacing w:after="0" w:line="240" w:lineRule="auto"/>
      </w:pPr>
      <w:r>
        <w:separator/>
      </w:r>
    </w:p>
  </w:endnote>
  <w:endnote w:type="continuationSeparator" w:id="0">
    <w:p w14:paraId="1A6B7FE9" w14:textId="77777777" w:rsidR="003C1E17" w:rsidRDefault="003C1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B8920" w14:textId="77777777" w:rsidR="003C1E17" w:rsidRDefault="003C1E17">
      <w:pPr>
        <w:spacing w:after="0" w:line="240" w:lineRule="auto"/>
      </w:pPr>
      <w:r>
        <w:separator/>
      </w:r>
    </w:p>
  </w:footnote>
  <w:footnote w:type="continuationSeparator" w:id="0">
    <w:p w14:paraId="01391E81" w14:textId="77777777" w:rsidR="003C1E17" w:rsidRDefault="003C1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211D2" w14:textId="77777777" w:rsidR="004C31E9" w:rsidRDefault="004C31E9" w:rsidP="00A73E17">
    <w:pPr>
      <w:pStyle w:val="Header"/>
      <w:jc w:val="right"/>
    </w:pPr>
    <w:r>
      <w:rPr>
        <w:noProof/>
      </w:rPr>
      <w:drawing>
        <wp:inline distT="0" distB="0" distL="0" distR="0" wp14:anchorId="7510C679" wp14:editId="1F9AF9AF">
          <wp:extent cx="1771650" cy="716806"/>
          <wp:effectExtent l="0" t="0" r="0" b="7620"/>
          <wp:docPr id="6"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5140" cy="72226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1E9"/>
    <w:rsid w:val="00014437"/>
    <w:rsid w:val="002B607F"/>
    <w:rsid w:val="003C1E17"/>
    <w:rsid w:val="0042525F"/>
    <w:rsid w:val="00477F8B"/>
    <w:rsid w:val="004C31E9"/>
    <w:rsid w:val="00854A2F"/>
    <w:rsid w:val="009B18B1"/>
    <w:rsid w:val="009E0FA2"/>
    <w:rsid w:val="00A34F69"/>
    <w:rsid w:val="00A55EED"/>
    <w:rsid w:val="00B75043"/>
    <w:rsid w:val="00B910CC"/>
    <w:rsid w:val="00BB34E1"/>
    <w:rsid w:val="00E20A71"/>
    <w:rsid w:val="00FD1851"/>
    <w:rsid w:val="00FD2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60DB1"/>
  <w15:chartTrackingRefBased/>
  <w15:docId w15:val="{DC841FB7-80C5-48A3-9DF8-D2FEB297B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1E9"/>
    <w:pPr>
      <w:spacing w:line="259" w:lineRule="auto"/>
    </w:pPr>
    <w:rPr>
      <w:sz w:val="22"/>
      <w:szCs w:val="22"/>
    </w:rPr>
  </w:style>
  <w:style w:type="paragraph" w:styleId="Heading1">
    <w:name w:val="heading 1"/>
    <w:basedOn w:val="Normal"/>
    <w:next w:val="Normal"/>
    <w:link w:val="Heading1Char"/>
    <w:uiPriority w:val="9"/>
    <w:qFormat/>
    <w:rsid w:val="004C31E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31E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31E9"/>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1E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4C31E9"/>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4C31E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4C31E9"/>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C31E9"/>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4C31E9"/>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1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1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1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1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1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1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1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1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1E9"/>
    <w:rPr>
      <w:rFonts w:eastAsiaTheme="majorEastAsia" w:cstheme="majorBidi"/>
      <w:color w:val="272727" w:themeColor="text1" w:themeTint="D8"/>
    </w:rPr>
  </w:style>
  <w:style w:type="paragraph" w:styleId="Title">
    <w:name w:val="Title"/>
    <w:basedOn w:val="Normal"/>
    <w:next w:val="Normal"/>
    <w:link w:val="TitleChar"/>
    <w:uiPriority w:val="10"/>
    <w:qFormat/>
    <w:rsid w:val="004C31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1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1E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1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1E9"/>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4C31E9"/>
    <w:rPr>
      <w:i/>
      <w:iCs/>
      <w:color w:val="404040" w:themeColor="text1" w:themeTint="BF"/>
    </w:rPr>
  </w:style>
  <w:style w:type="paragraph" w:styleId="ListParagraph">
    <w:name w:val="List Paragraph"/>
    <w:basedOn w:val="Normal"/>
    <w:uiPriority w:val="34"/>
    <w:qFormat/>
    <w:rsid w:val="004C31E9"/>
    <w:pPr>
      <w:spacing w:line="278" w:lineRule="auto"/>
      <w:ind w:left="720"/>
      <w:contextualSpacing/>
    </w:pPr>
    <w:rPr>
      <w:sz w:val="24"/>
      <w:szCs w:val="24"/>
    </w:rPr>
  </w:style>
  <w:style w:type="character" w:styleId="IntenseEmphasis">
    <w:name w:val="Intense Emphasis"/>
    <w:basedOn w:val="DefaultParagraphFont"/>
    <w:uiPriority w:val="21"/>
    <w:qFormat/>
    <w:rsid w:val="004C31E9"/>
    <w:rPr>
      <w:i/>
      <w:iCs/>
      <w:color w:val="0F4761" w:themeColor="accent1" w:themeShade="BF"/>
    </w:rPr>
  </w:style>
  <w:style w:type="paragraph" w:styleId="IntenseQuote">
    <w:name w:val="Intense Quote"/>
    <w:basedOn w:val="Normal"/>
    <w:next w:val="Normal"/>
    <w:link w:val="IntenseQuoteChar"/>
    <w:uiPriority w:val="30"/>
    <w:qFormat/>
    <w:rsid w:val="004C31E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4C31E9"/>
    <w:rPr>
      <w:i/>
      <w:iCs/>
      <w:color w:val="0F4761" w:themeColor="accent1" w:themeShade="BF"/>
    </w:rPr>
  </w:style>
  <w:style w:type="character" w:styleId="IntenseReference">
    <w:name w:val="Intense Reference"/>
    <w:basedOn w:val="DefaultParagraphFont"/>
    <w:uiPriority w:val="32"/>
    <w:qFormat/>
    <w:rsid w:val="004C31E9"/>
    <w:rPr>
      <w:b/>
      <w:bCs/>
      <w:smallCaps/>
      <w:color w:val="0F4761" w:themeColor="accent1" w:themeShade="BF"/>
      <w:spacing w:val="5"/>
    </w:rPr>
  </w:style>
  <w:style w:type="table" w:styleId="TableGrid">
    <w:name w:val="Table Grid"/>
    <w:basedOn w:val="TableNormal"/>
    <w:uiPriority w:val="39"/>
    <w:rsid w:val="004C31E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31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1E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837</Words>
  <Characters>4777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Williams</dc:creator>
  <cp:keywords/>
  <dc:description/>
  <cp:lastModifiedBy>Adrian Leather</cp:lastModifiedBy>
  <cp:revision>2</cp:revision>
  <dcterms:created xsi:type="dcterms:W3CDTF">2026-03-20T16:29:00Z</dcterms:created>
  <dcterms:modified xsi:type="dcterms:W3CDTF">2026-03-20T16:29:00Z</dcterms:modified>
</cp:coreProperties>
</file>